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早期语言评估与训练系统采购项目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鄂东医疗集团市妇幼保健院就早期语言评估与训练系统采购项目采用竞争性谈判的方式招标采购，欢迎有符合条件的供应商前来投标。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项目名称：早期语言评估与训练系统采购项目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预算金额：12.4万元整（供应商报价超过预算金额的视为无效响应）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五、报名时间：2021年8月16日-2021年8月18日（上午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年8月19日上午10：00；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2021年 8 月16 </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564"/>
        <w:gridCol w:w="238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3"/>
            <w:noWrap w:val="0"/>
            <w:vAlign w:val="center"/>
          </w:tcPr>
          <w:p>
            <w:pPr>
              <w:adjustRightInd w:val="0"/>
              <w:snapToGrid w:val="0"/>
              <w:ind w:left="195"/>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早期语言评估与训练系统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3564" w:type="dxa"/>
            <w:noWrap w:val="0"/>
            <w:vAlign w:val="center"/>
          </w:tcPr>
          <w:p>
            <w:pPr>
              <w:adjustRightInd w:val="0"/>
              <w:snapToGrid w:val="0"/>
              <w:ind w:firstLine="1680" w:firstLineChars="80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38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247"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4"/>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numPr>
                <w:ilvl w:val="0"/>
                <w:numId w:val="0"/>
              </w:numPr>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numPr>
                <w:ilvl w:val="0"/>
                <w:numId w:val="0"/>
              </w:numPr>
              <w:jc w:val="left"/>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w:t>
            </w:r>
            <w:r>
              <w:rPr>
                <w:rFonts w:hint="eastAsia" w:ascii="宋体" w:hAnsi="宋体" w:eastAsia="宋体" w:cs="宋体"/>
                <w:i w:val="0"/>
                <w:iCs w:val="0"/>
                <w:color w:val="000000"/>
                <w:kern w:val="0"/>
                <w:sz w:val="22"/>
                <w:szCs w:val="22"/>
                <w:u w:val="none"/>
                <w:lang w:val="en-US" w:eastAsia="zh-CN" w:bidi="ar"/>
              </w:rPr>
              <w:t>主要由触摸式显示器、鼠标、键盘、音箱、激光打印机、单通道低通滤波器、耳机、麦克风、工作台、电脑主机、隔离变压器（内置）、专用软件组成。</w:t>
            </w:r>
          </w:p>
          <w:p>
            <w:pPr>
              <w:widowControl/>
              <w:numPr>
                <w:ilvl w:val="0"/>
                <w:numId w:val="0"/>
              </w:numPr>
              <w:jc w:val="left"/>
              <w:rPr>
                <w:rFonts w:hint="default" w:ascii="宋体" w:hAnsi="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widowControl w:val="0"/>
              <w:numPr>
                <w:ilvl w:val="0"/>
                <w:numId w:val="2"/>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软件运行平台：</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电脑：兼容机；</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CPU：酷睿双核 2.6 G或以上；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内存：2 GB或以上；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硬盘：160 GB或以上；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显卡：集成显卡或以上；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声卡：集成声卡或以上；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操作系统：Windows7及以上；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开机预热时间：不少于2 min。</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※二、单通道低通滤波器</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3.1增益/dB，分五档：20、25、30、35、40，每档误差：±1dB（100Hz～700Hz基频范围内）</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3.2低通滤波/KHz，分四档：5、10、15、20，每档误差：≤4%</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3.3当无信号输入时，静止噪声≤1mV，</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3.4输入功率：1000VA</w:t>
            </w:r>
          </w:p>
          <w:p>
            <w:pPr>
              <w:widowControl w:val="0"/>
              <w:numPr>
                <w:ilvl w:val="0"/>
                <w:numId w:val="0"/>
              </w:numPr>
              <w:ind w:leftChars="0"/>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三、功能：</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1、具备言语发音矫治训练功能：包含构音训练、语音训练、发音教育、声音感知、清浊音感知、响度感知、起音感知、音调感知、共鸣训练、呼吸训练和电声门图显示及发声训练；</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2、具备多种声控游戏训练功能：对发声做出实时视觉反馈，吸引儿童训练兴趣，改善儿童发声费力和紧张的情况。</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3、具备8种有效的发音矫治教育指导介绍功能：每种介绍都以图文动画相结合的交互方式呈现给治疗师。</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具备儿童早期语言能力的评估功能：评估涉及词语、词组、句子、短文各方面，按照儿童语言发育规律设计了词语、词组、句子、短文及表达各阶段的训练，可对儿童进行无意识交流的唤醒训练、有意识交流训练和短句、短文表达交流训练等；</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5、训练内容具备多个主题：含有大量词汇、句子和短文素材，便于对儿童进行个性化教学训练。</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6、系统组成：由五大模块构成，包括系统介绍、学生管理、语言评估、语言训练和生态教学平台。</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7、具备使用说明文档；</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※8、具备发音矫治教育：包括哈欠叹息法、伸舌法、咀嚼法、半吞咽法、鼻音边音刺激法、改变响度法、减少硬起音法和建立有效的共鸣等；</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具备介绍语音的发展、词汇的发展、词汇语义的发展、句子语法发展、比较句的发展、给字句的发展、把字句的发展、被字句的发展、方所句的发展、主谓结构句的发展10个儿童语言发育过程及年龄段进行详细解说；</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※10、具备用户资料的修改、删除、打印、重新查找、统计、帮助，可对同一位受训者的多次评估结果进行比较，前后对照分析，显示出直方图，跟踪训练效果等功能；</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具备阶段评估和即时训练评估两种评估形式：可进行词语、词组、句子、短文各个阶段的评估，并能根据评估结果，设定早期语言干预的目标，干预的具体手段，提供8000多个干预内容，使学生从无意识交流的唤醒训练、有意识交流训练，直到能进行短句、短文的表达交流；</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 具备根据并遵循有关语言发展的规律、理论，甄选语言发育不同阶段的大量重要、关键的基础词语、词组、句子和短文，包括词语学习、词组学习、句子学习、短文学习、童谣吟诵、音悦厅训练六个训练阶段，通过辨认，识别，语言韵律测量，情景运用，语句综合应用等不同形式题型的设置激发儿童的训练兴趣等功能；</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具备开放式、可自行编辑的教学平台功能：老师可根据不同受训者的实际水平及教学需要，自行设计、编辑、建立大型的训练题库（训练语音、图片、视频、奖励等），进行各阶段的强化个体化训练。使对受训者的训练更有针对性，从而提高训练的效果与效率；</w:t>
            </w:r>
          </w:p>
          <w:p>
            <w:pPr>
              <w:widowControl w:val="0"/>
              <w:numPr>
                <w:ilvl w:val="0"/>
                <w:numId w:val="4"/>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适用人群：</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适用于听障引起的言语障碍、构音障碍、发声障碍、脑瘫、语言发育迟缓等疾病儿童，可用于各级医院康复科、儿童医院、各级残联康复机构、各级特殊教育机构、各类儿童康复训练机构等。</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※五、需提供检验报告原件；</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※六.具有医疗器械注册证等资质。</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质保≥3年；现场安装、培训；如遇故障2小时响应，24小时到达现场维修，如维修时间超出7天，提供备用机使用；维修配件价格纳入合同。</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5)产品彩页、技术参数、配置清单。</w:t>
      </w:r>
    </w:p>
    <w:p>
      <w:pPr>
        <w:numPr>
          <w:ilvl w:val="0"/>
          <w:numId w:val="0"/>
        </w:numPr>
        <w:ind w:left="560"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6）响应偏离表。</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ind w:firstLine="0" w:firstLineChars="0"/>
        <w:jc w:val="both"/>
        <w:rPr>
          <w:rFonts w:hint="eastAsia"/>
          <w:bCs/>
          <w:sz w:val="24"/>
          <w:lang w:eastAsia="zh-CN"/>
        </w:rPr>
      </w:pPr>
    </w:p>
    <w:p>
      <w:pPr>
        <w:ind w:firstLine="0" w:firstLineChars="0"/>
        <w:jc w:val="both"/>
        <w:rPr>
          <w:rFonts w:hint="eastAsia" w:ascii="宋体" w:hAnsi="宋体" w:eastAsia="宋体" w:cs="宋体"/>
          <w:sz w:val="22"/>
          <w:szCs w:val="21"/>
        </w:rPr>
      </w:pPr>
      <w:r>
        <w:rPr>
          <w:rFonts w:hint="eastAsia"/>
          <w:bCs/>
          <w:sz w:val="24"/>
          <w:lang w:eastAsia="zh-CN"/>
        </w:rPr>
        <w:t>附件</w:t>
      </w:r>
      <w:r>
        <w:rPr>
          <w:rFonts w:hint="eastAsia"/>
          <w:bCs/>
          <w:sz w:val="24"/>
          <w:lang w:val="en-US" w:eastAsia="zh-CN"/>
        </w:rPr>
        <w:t>6</w:t>
      </w:r>
      <w:r>
        <w:rPr>
          <w:rFonts w:hint="eastAsia" w:ascii="宋体" w:hAnsi="宋体" w:eastAsia="宋体" w:cs="宋体"/>
          <w:b/>
          <w:sz w:val="28"/>
          <w:szCs w:val="21"/>
          <w:lang w:val="en-US" w:eastAsia="zh-CN"/>
        </w:rPr>
        <w:t xml:space="preserve">                     </w:t>
      </w:r>
      <w:r>
        <w:rPr>
          <w:rFonts w:hint="eastAsia" w:ascii="宋体" w:hAnsi="宋体" w:eastAsia="宋体" w:cs="宋体"/>
          <w:b w:val="0"/>
          <w:bCs/>
          <w:sz w:val="28"/>
          <w:szCs w:val="21"/>
          <w:lang w:val="en-US" w:eastAsia="zh-CN"/>
        </w:rPr>
        <w:t xml:space="preserve"> </w:t>
      </w:r>
      <w:r>
        <w:rPr>
          <w:rFonts w:hint="eastAsia" w:ascii="宋体" w:hAnsi="宋体" w:eastAsia="宋体" w:cs="宋体"/>
          <w:b w:val="0"/>
          <w:bCs/>
          <w:sz w:val="28"/>
          <w:szCs w:val="21"/>
        </w:rPr>
        <w:t>响应/偏离表</w:t>
      </w:r>
    </w:p>
    <w:p>
      <w:pPr>
        <w:rPr>
          <w:rFonts w:hint="eastAsia" w:ascii="宋体" w:hAnsi="宋体" w:eastAsia="宋体" w:cs="宋体"/>
          <w:bCs/>
          <w:szCs w:val="21"/>
        </w:rPr>
      </w:pPr>
    </w:p>
    <w:p>
      <w:pPr>
        <w:rPr>
          <w:rFonts w:hint="eastAsia" w:ascii="宋体" w:hAnsi="宋体" w:eastAsia="宋体" w:cs="宋体"/>
          <w:szCs w:val="21"/>
        </w:rPr>
      </w:pPr>
      <w:r>
        <w:rPr>
          <w:rFonts w:hint="eastAsia" w:ascii="宋体" w:hAnsi="宋体" w:eastAsia="宋体" w:cs="宋体"/>
          <w:bCs/>
          <w:szCs w:val="21"/>
        </w:rPr>
        <w:t xml:space="preserve">项目编号：                                      </w:t>
      </w:r>
      <w:r>
        <w:rPr>
          <w:rFonts w:hint="eastAsia" w:ascii="宋体" w:hAnsi="宋体" w:eastAsia="宋体" w:cs="宋体"/>
          <w:szCs w:val="21"/>
        </w:rPr>
        <w:t>项目</w:t>
      </w:r>
      <w:r>
        <w:rPr>
          <w:rFonts w:hint="eastAsia" w:ascii="宋体" w:hAnsi="宋体" w:eastAsia="宋体" w:cs="宋体"/>
          <w:bCs/>
          <w:szCs w:val="21"/>
        </w:rPr>
        <w:t>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39"/>
        <w:gridCol w:w="2339"/>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序号</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采购文件需求</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响应内容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响应/偏离</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bl>
    <w:p>
      <w:pPr>
        <w:ind w:firstLine="3570" w:firstLineChars="1700"/>
        <w:rPr>
          <w:rFonts w:hint="eastAsia" w:ascii="宋体" w:hAnsi="宋体" w:eastAsia="宋体" w:cs="宋体"/>
          <w:bCs/>
          <w:szCs w:val="21"/>
          <w:u w:val="single"/>
        </w:rPr>
      </w:pPr>
      <w:r>
        <w:rPr>
          <w:rFonts w:hint="eastAsia" w:ascii="宋体" w:hAnsi="宋体" w:eastAsia="宋体" w:cs="宋体"/>
          <w:bCs/>
          <w:szCs w:val="21"/>
        </w:rPr>
        <w:t>供应商名称（公章）：</w:t>
      </w:r>
      <w:r>
        <w:rPr>
          <w:rFonts w:hint="eastAsia" w:ascii="宋体" w:hAnsi="宋体" w:eastAsia="宋体" w:cs="宋体"/>
          <w:color w:val="000000"/>
          <w:kern w:val="0"/>
          <w:szCs w:val="21"/>
          <w:u w:val="single"/>
        </w:rPr>
        <w:t xml:space="preserve">                       </w:t>
      </w:r>
    </w:p>
    <w:p>
      <w:pPr>
        <w:ind w:firstLine="3570" w:firstLineChars="1700"/>
        <w:rPr>
          <w:rFonts w:hint="eastAsia" w:ascii="宋体" w:hAnsi="宋体" w:eastAsia="宋体" w:cs="宋体"/>
          <w:bCs/>
          <w:szCs w:val="21"/>
          <w:u w:val="single"/>
        </w:rPr>
      </w:pPr>
      <w:r>
        <w:rPr>
          <w:rFonts w:hint="eastAsia" w:ascii="宋体" w:hAnsi="宋体" w:eastAsia="宋体" w:cs="宋体"/>
          <w:bCs/>
          <w:szCs w:val="21"/>
        </w:rPr>
        <w:t>授权代表(签字)：</w:t>
      </w:r>
      <w:r>
        <w:rPr>
          <w:rFonts w:hint="eastAsia" w:ascii="宋体" w:hAnsi="宋体" w:eastAsia="宋体" w:cs="宋体"/>
          <w:color w:val="000000"/>
          <w:kern w:val="0"/>
          <w:szCs w:val="21"/>
          <w:u w:val="single"/>
        </w:rPr>
        <w:t xml:space="preserve">                           </w:t>
      </w:r>
    </w:p>
    <w:p>
      <w:pPr>
        <w:ind w:firstLine="3570" w:firstLineChars="1700"/>
        <w:rPr>
          <w:rFonts w:hint="eastAsia" w:ascii="宋体" w:hAnsi="宋体" w:eastAsia="宋体" w:cs="宋体"/>
        </w:rPr>
      </w:pPr>
      <w:r>
        <w:rPr>
          <w:rFonts w:hint="eastAsia" w:ascii="宋体" w:hAnsi="宋体" w:eastAsia="宋体" w:cs="宋体"/>
          <w:bCs/>
        </w:rPr>
        <w:t>日期：</w:t>
      </w:r>
      <w:r>
        <w:rPr>
          <w:rFonts w:hint="eastAsia" w:ascii="宋体" w:hAnsi="宋体" w:eastAsia="宋体" w:cs="宋体"/>
          <w:color w:val="000000"/>
          <w:kern w:val="0"/>
          <w:u w:val="single"/>
        </w:rPr>
        <w:t xml:space="preserve">           </w:t>
      </w:r>
      <w:r>
        <w:rPr>
          <w:rFonts w:hint="eastAsia" w:ascii="宋体" w:hAnsi="宋体" w:eastAsia="宋体" w:cs="宋体"/>
          <w:bCs/>
        </w:rPr>
        <w:t>年</w:t>
      </w:r>
      <w:r>
        <w:rPr>
          <w:rFonts w:hint="eastAsia" w:ascii="宋体" w:hAnsi="宋体" w:eastAsia="宋体" w:cs="宋体"/>
          <w:color w:val="000000"/>
          <w:kern w:val="0"/>
          <w:u w:val="single"/>
        </w:rPr>
        <w:t xml:space="preserve">           </w:t>
      </w:r>
      <w:r>
        <w:rPr>
          <w:rFonts w:hint="eastAsia" w:ascii="宋体" w:hAnsi="宋体" w:eastAsia="宋体" w:cs="宋体"/>
          <w:bCs/>
        </w:rPr>
        <w:t>月</w:t>
      </w:r>
      <w:r>
        <w:rPr>
          <w:rFonts w:hint="eastAsia" w:ascii="宋体" w:hAnsi="宋体" w:eastAsia="宋体" w:cs="宋体"/>
          <w:color w:val="000000"/>
          <w:kern w:val="0"/>
          <w:u w:val="single"/>
        </w:rPr>
        <w:t xml:space="preserve">          </w:t>
      </w:r>
      <w:r>
        <w:rPr>
          <w:rFonts w:hint="eastAsia" w:ascii="宋体" w:hAnsi="宋体" w:eastAsia="宋体" w:cs="宋体"/>
          <w:bCs/>
        </w:rPr>
        <w:t>日</w:t>
      </w:r>
    </w:p>
    <w:p>
      <w:pPr>
        <w:ind w:firstLine="422"/>
        <w:rPr>
          <w:rFonts w:hint="eastAsia" w:ascii="宋体" w:hAnsi="宋体" w:eastAsia="宋体" w:cs="宋体"/>
          <w:b/>
          <w:bCs/>
          <w:iCs/>
          <w:szCs w:val="21"/>
        </w:rPr>
      </w:pPr>
    </w:p>
    <w:p>
      <w:pPr>
        <w:ind w:firstLine="422"/>
        <w:rPr>
          <w:rFonts w:hint="eastAsia" w:ascii="宋体" w:hAnsi="宋体" w:eastAsia="宋体" w:cs="宋体"/>
        </w:rPr>
      </w:pPr>
      <w:r>
        <w:rPr>
          <w:rFonts w:hint="eastAsia" w:ascii="宋体" w:hAnsi="宋体" w:eastAsia="宋体" w:cs="宋体"/>
          <w:b/>
          <w:bCs/>
        </w:rPr>
        <w:t>注：</w:t>
      </w:r>
      <w:r>
        <w:rPr>
          <w:rFonts w:hint="eastAsia" w:ascii="宋体" w:hAnsi="宋体" w:eastAsia="宋体" w:cs="宋体"/>
        </w:rPr>
        <w:t>1、供应商应对照采购文件第三章“采购需求”中的内容，逐条说明所提供货物/服务已对采购文件的响应，并申明与采购需求内容的偏差和例外。特别对有具体参数要求的指标，供应商必须提供货物的具体参数值。</w:t>
      </w:r>
    </w:p>
    <w:p>
      <w:pPr>
        <w:rPr>
          <w:rFonts w:hint="eastAsia" w:ascii="宋体" w:hAnsi="宋体" w:eastAsia="宋体" w:cs="宋体"/>
        </w:rPr>
      </w:pPr>
      <w:r>
        <w:rPr>
          <w:rFonts w:hint="eastAsia" w:ascii="宋体" w:hAnsi="宋体" w:eastAsia="宋体" w:cs="宋体"/>
        </w:rPr>
        <w:t>2、货物技术参数应有技术资料作为证明材料，包括但不限于国家权威检测机构出具的型式试验报告、制造商出具的技术说明书、使用说明书等。</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9DBB32C1"/>
    <w:multiLevelType w:val="singleLevel"/>
    <w:tmpl w:val="9DBB32C1"/>
    <w:lvl w:ilvl="0" w:tentative="0">
      <w:start w:val="4"/>
      <w:numFmt w:val="chineseCounting"/>
      <w:lvlText w:val="%1."/>
      <w:lvlJc w:val="left"/>
      <w:pPr>
        <w:tabs>
          <w:tab w:val="left" w:pos="312"/>
        </w:tabs>
      </w:pPr>
      <w:rPr>
        <w:rFonts w:hint="eastAsia"/>
      </w:rPr>
    </w:lvl>
  </w:abstractNum>
  <w:abstractNum w:abstractNumId="2">
    <w:nsid w:val="AA40BAB5"/>
    <w:multiLevelType w:val="singleLevel"/>
    <w:tmpl w:val="AA40BAB5"/>
    <w:lvl w:ilvl="0" w:tentative="0">
      <w:start w:val="1"/>
      <w:numFmt w:val="decimal"/>
      <w:suff w:val="nothing"/>
      <w:lvlText w:val="%1、"/>
      <w:lvlJc w:val="left"/>
    </w:lvl>
  </w:abstractNum>
  <w:abstractNum w:abstractNumId="3">
    <w:nsid w:val="F07232F9"/>
    <w:multiLevelType w:val="singleLevel"/>
    <w:tmpl w:val="F07232F9"/>
    <w:lvl w:ilvl="0" w:tentative="0">
      <w:start w:val="1"/>
      <w:numFmt w:val="chineseCounting"/>
      <w:suff w:val="nothing"/>
      <w:lvlText w:val="%1、"/>
      <w:lvlJc w:val="left"/>
      <w:rPr>
        <w:rFonts w:hint="eastAsia"/>
      </w:rPr>
    </w:lvl>
  </w:abstractNum>
  <w:abstractNum w:abstractNumId="4">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6627FB"/>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33D0103"/>
    <w:rsid w:val="54C76DD3"/>
    <w:rsid w:val="54D31604"/>
    <w:rsid w:val="55783EDA"/>
    <w:rsid w:val="563B62A0"/>
    <w:rsid w:val="57162743"/>
    <w:rsid w:val="57356B8A"/>
    <w:rsid w:val="57423EE5"/>
    <w:rsid w:val="57553127"/>
    <w:rsid w:val="57AA0A60"/>
    <w:rsid w:val="57F275EE"/>
    <w:rsid w:val="580B67BC"/>
    <w:rsid w:val="58531B79"/>
    <w:rsid w:val="587E512E"/>
    <w:rsid w:val="58831EFF"/>
    <w:rsid w:val="5896264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814FC8"/>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3C68C3"/>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 w:type="paragraph" w:customStyle="1" w:styleId="12">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2021-08-16T08:03:07Z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