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firstLine="960" w:firstLineChars="300"/>
        <w:rPr>
          <w:rFonts w:hint="eastAsia"/>
          <w:bCs/>
          <w:sz w:val="32"/>
          <w:szCs w:val="32"/>
          <w:lang w:eastAsia="zh-CN"/>
        </w:rPr>
      </w:pPr>
      <w:r>
        <w:rPr>
          <w:bCs/>
          <w:sz w:val="32"/>
          <w:szCs w:val="32"/>
        </w:rPr>
        <w:t>项目名称：</w:t>
      </w:r>
      <w:r>
        <w:rPr>
          <w:rFonts w:hint="eastAsia"/>
          <w:bCs/>
          <w:sz w:val="32"/>
          <w:szCs w:val="32"/>
          <w:lang w:eastAsia="zh-CN"/>
        </w:rPr>
        <w:t>后勤安全生产管理系统采购项目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二三年九月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黄石市妇幼保健院就后勤安全生产管理系统采购项目采用竞争性谈判的方式招标采购，欢迎有符合条件的供应商前来投标。</w:t>
      </w:r>
    </w:p>
    <w:p>
      <w:pPr>
        <w:pStyle w:val="5"/>
        <w:rPr>
          <w:rFonts w:hint="eastAsia" w:ascii="宋体" w:hAnsi="宋体" w:eastAsia="宋体" w:cs="宋体"/>
          <w:sz w:val="28"/>
          <w:szCs w:val="28"/>
          <w:lang w:val="en-US" w:eastAsia="zh-CN"/>
        </w:rPr>
      </w:pPr>
    </w:p>
    <w:p>
      <w:pPr>
        <w:pStyle w:val="5"/>
        <w:ind w:firstLine="280" w:firstLineChars="1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default" w:ascii="宋体" w:hAnsi="宋体" w:eastAsia="宋体" w:cs="宋体"/>
          <w:sz w:val="24"/>
          <w:szCs w:val="24"/>
          <w:lang w:val="en-US" w:eastAsia="zh-CN"/>
        </w:rPr>
      </w:pPr>
      <w:r>
        <w:rPr>
          <w:rFonts w:hint="eastAsia" w:ascii="宋体" w:hAnsi="宋体" w:eastAsia="宋体" w:cs="宋体"/>
          <w:sz w:val="28"/>
          <w:szCs w:val="28"/>
          <w:lang w:val="en-US" w:eastAsia="zh-CN"/>
        </w:rPr>
        <w:t>1.项目名称：黄石市妇幼保健院后勤安全生产管理系统采购项目</w:t>
      </w:r>
      <w:r>
        <w:rPr>
          <w:rFonts w:hint="eastAsia" w:ascii="宋体" w:hAnsi="宋体" w:eastAsia="宋体" w:cs="宋体"/>
          <w:sz w:val="24"/>
          <w:szCs w:val="24"/>
          <w:lang w:val="en-US" w:eastAsia="zh-CN"/>
        </w:rPr>
        <w:t>；</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2.预算金额：3万元（报价超过预算金额视为无效投标）；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二、供应商资格条件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1、投标单位应具备独立法人资格，营业范围包含本项目；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供应商须提供“信用中国”网站(www.creditchina.gov.cn)失信被执行人、重大税收违法案件当事人名单、政府采购严重违法失信行为记录名单和“中国政府采购”网站（www.ccgp.gov.cn）政府采购严重违法失信行为记录名单中的查询截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3、无重大违法声明记录；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4、本项目不接受联合体投标。</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w:t>
      </w:r>
      <w:r>
        <w:rPr>
          <w:rFonts w:hint="eastAsia" w:ascii="宋体" w:hAnsi="宋体" w:eastAsia="宋体" w:cs="宋体"/>
          <w:kern w:val="2"/>
          <w:sz w:val="28"/>
          <w:szCs w:val="28"/>
          <w:lang w:val="en-US" w:eastAsia="zh-CN" w:bidi="ar-SA"/>
        </w:rPr>
        <w:t>携带</w:t>
      </w:r>
      <w:r>
        <w:rPr>
          <w:rFonts w:hint="eastAsia" w:ascii="宋体" w:hAnsi="宋体" w:eastAsia="宋体" w:cs="宋体"/>
          <w:sz w:val="28"/>
          <w:szCs w:val="28"/>
          <w:lang w:val="en-US" w:eastAsia="zh-CN"/>
        </w:rPr>
        <w:t>有效期内的营业执照、税务登记证、组织机构代码证（三证合一只需提供营业执照），</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四、报名时间：2023年9月11日-2023年9月13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五、标书递交截止时间及开标时间：2023年9 月14日下午14</w:t>
      </w:r>
      <w:bookmarkStart w:id="0" w:name="_GoBack"/>
      <w:bookmarkEnd w:id="0"/>
      <w:r>
        <w:rPr>
          <w:rFonts w:hint="eastAsia" w:ascii="宋体" w:hAnsi="宋体" w:eastAsia="宋体" w:cs="宋体"/>
          <w:sz w:val="28"/>
          <w:szCs w:val="28"/>
          <w:lang w:val="en-US" w:eastAsia="zh-CN"/>
        </w:rPr>
        <w:t>：30；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六、招标地点：黄石市妇幼保健院行政楼202会议室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2023年9月11日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both"/>
        <w:rPr>
          <w:rFonts w:hint="eastAsia" w:ascii="宋体" w:hAnsi="宋体" w:eastAsia="宋体" w:cs="宋体"/>
          <w:sz w:val="28"/>
          <w:szCs w:val="28"/>
          <w:lang w:val="en-US" w:eastAsia="zh-CN"/>
        </w:rPr>
      </w:pPr>
    </w:p>
    <w:p>
      <w:pPr>
        <w:pStyle w:val="3"/>
        <w:widowControl w:val="0"/>
        <w:numPr>
          <w:ilvl w:val="0"/>
          <w:numId w:val="0"/>
        </w:numPr>
        <w:spacing w:after="120"/>
        <w:jc w:val="both"/>
        <w:rPr>
          <w:rFonts w:hint="default"/>
          <w:lang w:val="en-US" w:eastAsia="zh-CN"/>
        </w:rPr>
      </w:pPr>
    </w:p>
    <w:p>
      <w:pPr>
        <w:rPr>
          <w:rFonts w:hint="default"/>
          <w:lang w:val="en-US" w:eastAsia="zh-CN"/>
        </w:rPr>
      </w:pPr>
    </w:p>
    <w:p>
      <w:pPr>
        <w:rPr>
          <w:rFonts w:hint="default"/>
          <w:lang w:val="en-US" w:eastAsia="zh-CN"/>
        </w:rPr>
        <w:sectPr>
          <w:pgSz w:w="11906" w:h="16838"/>
          <w:pgMar w:top="1440" w:right="1800" w:bottom="1440" w:left="1800" w:header="851" w:footer="992" w:gutter="0"/>
          <w:cols w:space="425" w:num="1"/>
          <w:docGrid w:type="lines" w:linePitch="312" w:charSpace="0"/>
        </w:sectPr>
      </w:pPr>
    </w:p>
    <w:p>
      <w:pPr>
        <w:numPr>
          <w:ilvl w:val="0"/>
          <w:numId w:val="2"/>
        </w:numPr>
        <w:ind w:left="3103" w:leftChars="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招标需求</w:t>
      </w:r>
    </w:p>
    <w:p>
      <w:pPr>
        <w:pStyle w:val="3"/>
        <w:numPr>
          <w:ilvl w:val="0"/>
          <w:numId w:val="0"/>
        </w:numPr>
        <w:rPr>
          <w:rFonts w:hint="default"/>
          <w:lang w:val="en-US" w:eastAsia="zh-CN"/>
        </w:rPr>
      </w:pPr>
    </w:p>
    <w:tbl>
      <w:tblPr>
        <w:tblStyle w:val="8"/>
        <w:tblW w:w="0" w:type="auto"/>
        <w:tblInd w:w="0" w:type="dxa"/>
        <w:tblLayout w:type="fixed"/>
        <w:tblCellMar>
          <w:top w:w="0" w:type="dxa"/>
          <w:left w:w="108" w:type="dxa"/>
          <w:bottom w:w="0" w:type="dxa"/>
          <w:right w:w="108" w:type="dxa"/>
        </w:tblCellMar>
      </w:tblPr>
      <w:tblGrid>
        <w:gridCol w:w="1552"/>
        <w:gridCol w:w="2266"/>
        <w:gridCol w:w="5936"/>
        <w:gridCol w:w="6"/>
        <w:gridCol w:w="234"/>
        <w:gridCol w:w="2"/>
      </w:tblGrid>
      <w:tr>
        <w:tblPrEx>
          <w:tblCellMar>
            <w:top w:w="0" w:type="dxa"/>
            <w:left w:w="108" w:type="dxa"/>
            <w:bottom w:w="0" w:type="dxa"/>
            <w:right w:w="108" w:type="dxa"/>
          </w:tblCellMar>
        </w:tblPrEx>
        <w:trPr>
          <w:gridAfter w:val="2"/>
          <w:wAfter w:w="236" w:type="dxa"/>
          <w:trHeight w:val="566" w:hRule="atLeast"/>
        </w:trPr>
        <w:tc>
          <w:tcPr>
            <w:tcW w:w="1552" w:type="dxa"/>
            <w:tcBorders>
              <w:top w:val="single" w:color="auto" w:sz="4" w:space="0"/>
              <w:left w:val="single" w:color="auto" w:sz="8" w:space="0"/>
              <w:bottom w:val="single" w:color="auto" w:sz="4" w:space="0"/>
              <w:right w:val="single" w:color="auto" w:sz="4" w:space="0"/>
            </w:tcBorders>
            <w:shd w:val="clear" w:color="000000" w:fill="DAEEF3"/>
            <w:noWrap w:val="0"/>
            <w:vAlign w:val="center"/>
          </w:tcPr>
          <w:p>
            <w:pPr>
              <w:widowControl/>
              <w:jc w:val="center"/>
              <w:rPr>
                <w:rFonts w:ascii="宋体" w:hAnsi="宋体" w:eastAsia="宋体" w:cs="Arial"/>
                <w:b w:val="0"/>
                <w:bCs w:val="0"/>
                <w:kern w:val="0"/>
                <w:sz w:val="21"/>
                <w:szCs w:val="21"/>
              </w:rPr>
            </w:pPr>
            <w:r>
              <w:rPr>
                <w:rFonts w:hint="eastAsia" w:ascii="宋体" w:hAnsi="宋体" w:eastAsia="宋体" w:cs="Arial"/>
                <w:b w:val="0"/>
                <w:bCs w:val="0"/>
                <w:kern w:val="0"/>
                <w:sz w:val="21"/>
                <w:szCs w:val="21"/>
                <w:lang w:eastAsia="zh-CN"/>
              </w:rPr>
              <w:t>功能</w:t>
            </w:r>
            <w:r>
              <w:rPr>
                <w:rFonts w:hint="eastAsia" w:ascii="宋体" w:hAnsi="宋体" w:eastAsia="宋体" w:cs="Arial"/>
                <w:b w:val="0"/>
                <w:bCs w:val="0"/>
                <w:kern w:val="0"/>
                <w:sz w:val="21"/>
                <w:szCs w:val="21"/>
              </w:rPr>
              <w:t>大类</w:t>
            </w:r>
          </w:p>
        </w:tc>
        <w:tc>
          <w:tcPr>
            <w:tcW w:w="2266" w:type="dxa"/>
            <w:tcBorders>
              <w:top w:val="single" w:color="auto" w:sz="4" w:space="0"/>
              <w:left w:val="nil"/>
              <w:bottom w:val="single" w:color="auto" w:sz="4" w:space="0"/>
              <w:right w:val="single" w:color="auto" w:sz="4" w:space="0"/>
            </w:tcBorders>
            <w:shd w:val="clear" w:color="000000" w:fill="DAEEF3"/>
            <w:noWrap w:val="0"/>
            <w:vAlign w:val="center"/>
          </w:tcPr>
          <w:p>
            <w:pPr>
              <w:widowControl/>
              <w:jc w:val="center"/>
              <w:rPr>
                <w:rFonts w:hint="eastAsia" w:ascii="宋体" w:hAnsi="宋体" w:eastAsia="宋体" w:cs="Arial"/>
                <w:b w:val="0"/>
                <w:bCs w:val="0"/>
                <w:kern w:val="0"/>
                <w:sz w:val="21"/>
                <w:szCs w:val="21"/>
                <w:lang w:eastAsia="zh-CN"/>
              </w:rPr>
            </w:pPr>
            <w:r>
              <w:rPr>
                <w:rFonts w:hint="eastAsia" w:ascii="宋体" w:hAnsi="宋体" w:eastAsia="宋体" w:cs="Arial"/>
                <w:b w:val="0"/>
                <w:bCs w:val="0"/>
                <w:kern w:val="0"/>
                <w:sz w:val="21"/>
                <w:szCs w:val="21"/>
                <w:lang w:eastAsia="zh-CN"/>
              </w:rPr>
              <w:t>功能模块</w:t>
            </w:r>
          </w:p>
        </w:tc>
        <w:tc>
          <w:tcPr>
            <w:tcW w:w="5942" w:type="dxa"/>
            <w:gridSpan w:val="2"/>
            <w:tcBorders>
              <w:top w:val="single" w:color="auto" w:sz="4" w:space="0"/>
              <w:left w:val="nil"/>
              <w:bottom w:val="single" w:color="auto" w:sz="4" w:space="0"/>
              <w:right w:val="single" w:color="auto" w:sz="8" w:space="0"/>
            </w:tcBorders>
            <w:shd w:val="clear" w:color="000000" w:fill="DAEEF3"/>
            <w:noWrap w:val="0"/>
            <w:vAlign w:val="center"/>
          </w:tcPr>
          <w:p>
            <w:pPr>
              <w:widowControl/>
              <w:jc w:val="center"/>
              <w:rPr>
                <w:rFonts w:hint="eastAsia" w:ascii="宋体" w:hAnsi="宋体" w:eastAsia="宋体" w:cs="Arial"/>
                <w:b w:val="0"/>
                <w:bCs w:val="0"/>
                <w:kern w:val="0"/>
                <w:sz w:val="21"/>
                <w:szCs w:val="21"/>
                <w:lang w:eastAsia="zh-CN"/>
              </w:rPr>
            </w:pPr>
            <w:r>
              <w:rPr>
                <w:rFonts w:hint="eastAsia" w:ascii="宋体" w:hAnsi="宋体" w:eastAsia="宋体" w:cs="Arial"/>
                <w:b w:val="0"/>
                <w:bCs w:val="0"/>
                <w:kern w:val="0"/>
                <w:sz w:val="21"/>
                <w:szCs w:val="21"/>
                <w:lang w:eastAsia="zh-CN"/>
              </w:rPr>
              <w:t>详细说明</w:t>
            </w:r>
          </w:p>
        </w:tc>
      </w:tr>
      <w:tr>
        <w:tblPrEx>
          <w:tblCellMar>
            <w:top w:w="0" w:type="dxa"/>
            <w:left w:w="108" w:type="dxa"/>
            <w:bottom w:w="0" w:type="dxa"/>
            <w:right w:w="108" w:type="dxa"/>
          </w:tblCellMar>
        </w:tblPrEx>
        <w:trPr>
          <w:gridAfter w:val="2"/>
          <w:wAfter w:w="236" w:type="dxa"/>
          <w:trHeight w:val="519" w:hRule="atLeast"/>
        </w:trPr>
        <w:tc>
          <w:tcPr>
            <w:tcW w:w="1552"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Arial"/>
                <w:b w:val="0"/>
                <w:bCs w:val="0"/>
                <w:kern w:val="0"/>
                <w:sz w:val="21"/>
                <w:szCs w:val="21"/>
              </w:rPr>
            </w:pPr>
            <w:r>
              <w:rPr>
                <w:rFonts w:hint="eastAsia" w:ascii="宋体" w:hAnsi="宋体" w:eastAsia="宋体" w:cs="Arial"/>
                <w:b w:val="0"/>
                <w:bCs w:val="0"/>
                <w:kern w:val="0"/>
                <w:sz w:val="21"/>
                <w:szCs w:val="21"/>
              </w:rPr>
              <w:t>1、安全生产</w:t>
            </w:r>
          </w:p>
          <w:p>
            <w:pPr>
              <w:widowControl/>
              <w:jc w:val="center"/>
              <w:rPr>
                <w:rFonts w:ascii="宋体" w:hAnsi="宋体" w:eastAsia="宋体" w:cs="Arial"/>
                <w:b w:val="0"/>
                <w:bCs w:val="0"/>
                <w:kern w:val="0"/>
                <w:sz w:val="21"/>
                <w:szCs w:val="21"/>
              </w:rPr>
            </w:pPr>
            <w:r>
              <w:rPr>
                <w:rFonts w:hint="eastAsia" w:ascii="宋体" w:hAnsi="宋体" w:eastAsia="宋体" w:cs="Arial"/>
                <w:b w:val="0"/>
                <w:bCs w:val="0"/>
                <w:kern w:val="0"/>
                <w:sz w:val="21"/>
                <w:szCs w:val="21"/>
              </w:rPr>
              <w:t>组织领导工作</w:t>
            </w:r>
          </w:p>
        </w:tc>
        <w:tc>
          <w:tcPr>
            <w:tcW w:w="2266" w:type="dxa"/>
            <w:tcBorders>
              <w:top w:val="nil"/>
              <w:left w:val="nil"/>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安全生产领导履职</w:t>
            </w:r>
          </w:p>
        </w:tc>
        <w:tc>
          <w:tcPr>
            <w:tcW w:w="5942" w:type="dxa"/>
            <w:gridSpan w:val="2"/>
            <w:tcBorders>
              <w:top w:val="nil"/>
              <w:left w:val="nil"/>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有专属的领导安全管理履职模块和相应的汇总记录</w:t>
            </w:r>
          </w:p>
        </w:tc>
      </w:tr>
      <w:tr>
        <w:tblPrEx>
          <w:tblCellMar>
            <w:top w:w="0" w:type="dxa"/>
            <w:left w:w="108" w:type="dxa"/>
            <w:bottom w:w="0" w:type="dxa"/>
            <w:right w:w="108" w:type="dxa"/>
          </w:tblCellMar>
        </w:tblPrEx>
        <w:trPr>
          <w:gridAfter w:val="2"/>
          <w:wAfter w:w="236" w:type="dxa"/>
          <w:trHeight w:val="312" w:hRule="atLeast"/>
        </w:trPr>
        <w:tc>
          <w:tcPr>
            <w:tcW w:w="1552"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Arial"/>
                <w:b w:val="0"/>
                <w:bCs w:val="0"/>
                <w:kern w:val="0"/>
                <w:sz w:val="21"/>
                <w:szCs w:val="21"/>
              </w:rPr>
            </w:pPr>
          </w:p>
        </w:tc>
        <w:tc>
          <w:tcPr>
            <w:tcW w:w="2266"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安全生产安全管理组织建设</w:t>
            </w:r>
          </w:p>
        </w:tc>
        <w:tc>
          <w:tcPr>
            <w:tcW w:w="5942" w:type="dxa"/>
            <w:gridSpan w:val="2"/>
            <w:vMerge w:val="restart"/>
            <w:tcBorders>
              <w:top w:val="nil"/>
              <w:left w:val="single" w:color="auto" w:sz="4" w:space="0"/>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数字化的安全管理委员会及科室安全责任人组织架构管理 在后端平台的可视化配置管理</w:t>
            </w:r>
          </w:p>
        </w:tc>
      </w:tr>
      <w:tr>
        <w:tblPrEx>
          <w:tblCellMar>
            <w:top w:w="0" w:type="dxa"/>
            <w:left w:w="108" w:type="dxa"/>
            <w:bottom w:w="0" w:type="dxa"/>
            <w:right w:w="108" w:type="dxa"/>
          </w:tblCellMar>
        </w:tblPrEx>
        <w:trPr>
          <w:trHeight w:val="283" w:hRule="atLeast"/>
        </w:trPr>
        <w:tc>
          <w:tcPr>
            <w:tcW w:w="1552"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Arial"/>
                <w:b w:val="0"/>
                <w:bCs w:val="0"/>
                <w:kern w:val="0"/>
                <w:sz w:val="21"/>
                <w:szCs w:val="21"/>
              </w:rPr>
            </w:pPr>
          </w:p>
        </w:tc>
        <w:tc>
          <w:tcPr>
            <w:tcW w:w="22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rPr>
            </w:pPr>
          </w:p>
        </w:tc>
        <w:tc>
          <w:tcPr>
            <w:tcW w:w="5942" w:type="dxa"/>
            <w:gridSpan w:val="2"/>
            <w:vMerge w:val="continue"/>
            <w:tcBorders>
              <w:top w:val="nil"/>
              <w:left w:val="single" w:color="auto" w:sz="4" w:space="0"/>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rPr>
            </w:pPr>
          </w:p>
        </w:tc>
        <w:tc>
          <w:tcPr>
            <w:tcW w:w="236" w:type="dxa"/>
            <w:gridSpan w:val="2"/>
            <w:tcBorders>
              <w:top w:val="nil"/>
              <w:left w:val="nil"/>
              <w:bottom w:val="nil"/>
              <w:right w:val="nil"/>
            </w:tcBorders>
            <w:noWrap w:val="0"/>
            <w:vAlign w:val="center"/>
          </w:tcPr>
          <w:p>
            <w:pPr>
              <w:widowControl/>
              <w:jc w:val="left"/>
              <w:rPr>
                <w:rFonts w:ascii="宋体" w:hAnsi="宋体" w:eastAsia="宋体" w:cs="Arial"/>
                <w:b w:val="0"/>
                <w:bCs w:val="0"/>
                <w:kern w:val="0"/>
                <w:sz w:val="21"/>
                <w:szCs w:val="21"/>
              </w:rPr>
            </w:pPr>
          </w:p>
        </w:tc>
      </w:tr>
      <w:tr>
        <w:tblPrEx>
          <w:tblCellMar>
            <w:top w:w="0" w:type="dxa"/>
            <w:left w:w="108" w:type="dxa"/>
            <w:bottom w:w="0" w:type="dxa"/>
            <w:right w:w="108" w:type="dxa"/>
          </w:tblCellMar>
        </w:tblPrEx>
        <w:trPr>
          <w:trHeight w:val="566" w:hRule="atLeast"/>
        </w:trPr>
        <w:tc>
          <w:tcPr>
            <w:tcW w:w="1552"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Arial"/>
                <w:b w:val="0"/>
                <w:bCs w:val="0"/>
                <w:kern w:val="0"/>
                <w:sz w:val="21"/>
                <w:szCs w:val="21"/>
              </w:rPr>
            </w:pPr>
          </w:p>
        </w:tc>
        <w:tc>
          <w:tcPr>
            <w:tcW w:w="2266" w:type="dxa"/>
            <w:tcBorders>
              <w:top w:val="nil"/>
              <w:left w:val="nil"/>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安全生产工作计划制定及循环设置</w:t>
            </w:r>
          </w:p>
        </w:tc>
        <w:tc>
          <w:tcPr>
            <w:tcW w:w="5942" w:type="dxa"/>
            <w:gridSpan w:val="2"/>
            <w:tcBorders>
              <w:top w:val="nil"/>
              <w:left w:val="nil"/>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有计划控制和定期提醒功能</w:t>
            </w:r>
          </w:p>
        </w:tc>
        <w:tc>
          <w:tcPr>
            <w:tcW w:w="236" w:type="dxa"/>
            <w:gridSpan w:val="2"/>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trHeight w:val="566" w:hRule="atLeast"/>
        </w:trPr>
        <w:tc>
          <w:tcPr>
            <w:tcW w:w="1552"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Arial"/>
                <w:b w:val="0"/>
                <w:bCs w:val="0"/>
                <w:kern w:val="0"/>
                <w:sz w:val="21"/>
                <w:szCs w:val="21"/>
              </w:rPr>
            </w:pPr>
          </w:p>
        </w:tc>
        <w:tc>
          <w:tcPr>
            <w:tcW w:w="2266" w:type="dxa"/>
            <w:tcBorders>
              <w:top w:val="nil"/>
              <w:left w:val="nil"/>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安全生产责任网格</w:t>
            </w:r>
          </w:p>
        </w:tc>
        <w:tc>
          <w:tcPr>
            <w:tcW w:w="5942" w:type="dxa"/>
            <w:gridSpan w:val="2"/>
            <w:tcBorders>
              <w:top w:val="nil"/>
              <w:left w:val="nil"/>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通过系统能够为医院建立数字化安全生产责任制网格</w:t>
            </w:r>
          </w:p>
        </w:tc>
        <w:tc>
          <w:tcPr>
            <w:tcW w:w="236" w:type="dxa"/>
            <w:gridSpan w:val="2"/>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trHeight w:val="566" w:hRule="atLeast"/>
        </w:trPr>
        <w:tc>
          <w:tcPr>
            <w:tcW w:w="1552"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Arial"/>
                <w:b w:val="0"/>
                <w:bCs w:val="0"/>
                <w:kern w:val="0"/>
                <w:sz w:val="21"/>
                <w:szCs w:val="21"/>
              </w:rPr>
            </w:pPr>
          </w:p>
        </w:tc>
        <w:tc>
          <w:tcPr>
            <w:tcW w:w="2266" w:type="dxa"/>
            <w:tcBorders>
              <w:top w:val="nil"/>
              <w:left w:val="nil"/>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安全生产经费预算</w:t>
            </w:r>
          </w:p>
        </w:tc>
        <w:tc>
          <w:tcPr>
            <w:tcW w:w="5942" w:type="dxa"/>
            <w:gridSpan w:val="2"/>
            <w:tcBorders>
              <w:top w:val="nil"/>
              <w:left w:val="nil"/>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系统能够对相关台账管理模板、过程证据、管理活动提供数字化支持</w:t>
            </w:r>
          </w:p>
        </w:tc>
        <w:tc>
          <w:tcPr>
            <w:tcW w:w="236" w:type="dxa"/>
            <w:gridSpan w:val="2"/>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trHeight w:val="975" w:hRule="atLeast"/>
        </w:trPr>
        <w:tc>
          <w:tcPr>
            <w:tcW w:w="1552"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Arial"/>
                <w:b w:val="0"/>
                <w:bCs w:val="0"/>
                <w:kern w:val="0"/>
                <w:sz w:val="21"/>
                <w:szCs w:val="21"/>
              </w:rPr>
            </w:pPr>
          </w:p>
        </w:tc>
        <w:tc>
          <w:tcPr>
            <w:tcW w:w="2266" w:type="dxa"/>
            <w:tcBorders>
              <w:top w:val="nil"/>
              <w:left w:val="nil"/>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安全生产考核奖惩</w:t>
            </w:r>
          </w:p>
        </w:tc>
        <w:tc>
          <w:tcPr>
            <w:tcW w:w="5942" w:type="dxa"/>
            <w:gridSpan w:val="2"/>
            <w:tcBorders>
              <w:top w:val="nil"/>
              <w:left w:val="nil"/>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系统需要提供医院安全生产管理工作相关制度的台账模板管理功能，在外部专家提供的模板体系之外，提供医院自己单独模板和提醒</w:t>
            </w:r>
          </w:p>
        </w:tc>
        <w:tc>
          <w:tcPr>
            <w:tcW w:w="236" w:type="dxa"/>
            <w:gridSpan w:val="2"/>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trHeight w:val="746" w:hRule="atLeast"/>
        </w:trPr>
        <w:tc>
          <w:tcPr>
            <w:tcW w:w="1552" w:type="dxa"/>
            <w:vMerge w:val="restart"/>
            <w:tcBorders>
              <w:top w:val="nil"/>
              <w:left w:val="single" w:color="auto" w:sz="8" w:space="0"/>
              <w:bottom w:val="single" w:color="auto" w:sz="4" w:space="0"/>
              <w:right w:val="single" w:color="auto" w:sz="4" w:space="0"/>
            </w:tcBorders>
            <w:noWrap w:val="0"/>
            <w:vAlign w:val="center"/>
          </w:tcPr>
          <w:p>
            <w:pPr>
              <w:widowControl/>
              <w:numPr>
                <w:ilvl w:val="0"/>
                <w:numId w:val="3"/>
              </w:numPr>
              <w:jc w:val="center"/>
              <w:rPr>
                <w:rFonts w:ascii="宋体" w:hAnsi="宋体" w:eastAsia="宋体" w:cs="Arial"/>
                <w:b w:val="0"/>
                <w:bCs w:val="0"/>
                <w:kern w:val="0"/>
                <w:sz w:val="21"/>
                <w:szCs w:val="21"/>
              </w:rPr>
            </w:pPr>
            <w:r>
              <w:rPr>
                <w:rFonts w:hint="eastAsia" w:ascii="宋体" w:hAnsi="宋体" w:eastAsia="宋体" w:cs="Arial"/>
                <w:b w:val="0"/>
                <w:bCs w:val="0"/>
                <w:kern w:val="0"/>
                <w:sz w:val="21"/>
                <w:szCs w:val="21"/>
              </w:rPr>
              <w:t>安全生产制度机制建设</w:t>
            </w:r>
          </w:p>
        </w:tc>
        <w:tc>
          <w:tcPr>
            <w:tcW w:w="2266" w:type="dxa"/>
            <w:tcBorders>
              <w:top w:val="nil"/>
              <w:left w:val="nil"/>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安全生产责任网格</w:t>
            </w:r>
          </w:p>
        </w:tc>
        <w:tc>
          <w:tcPr>
            <w:tcW w:w="5942" w:type="dxa"/>
            <w:gridSpan w:val="2"/>
            <w:tcBorders>
              <w:top w:val="nil"/>
              <w:left w:val="nil"/>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系统支持在医院进行数字化责任网格的创建、网格体系的修改调整、责任人的变更和调整。</w:t>
            </w:r>
          </w:p>
        </w:tc>
        <w:tc>
          <w:tcPr>
            <w:tcW w:w="236" w:type="dxa"/>
            <w:gridSpan w:val="2"/>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trHeight w:val="1089" w:hRule="atLeast"/>
        </w:trPr>
        <w:tc>
          <w:tcPr>
            <w:tcW w:w="1552"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Arial"/>
                <w:b w:val="0"/>
                <w:bCs w:val="0"/>
                <w:kern w:val="0"/>
                <w:sz w:val="21"/>
                <w:szCs w:val="21"/>
              </w:rPr>
            </w:pPr>
          </w:p>
        </w:tc>
        <w:tc>
          <w:tcPr>
            <w:tcW w:w="2266" w:type="dxa"/>
            <w:tcBorders>
              <w:top w:val="nil"/>
              <w:left w:val="nil"/>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安全生产制度健全</w:t>
            </w:r>
          </w:p>
        </w:tc>
        <w:tc>
          <w:tcPr>
            <w:tcW w:w="5942" w:type="dxa"/>
            <w:gridSpan w:val="2"/>
            <w:tcBorders>
              <w:top w:val="nil"/>
              <w:left w:val="nil"/>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为医院提供整套的动态化制度模板库，在专家库以外支持医院自有政策模板库，对制度的更新要求和频率能够提供合规要求配置。</w:t>
            </w:r>
          </w:p>
        </w:tc>
        <w:tc>
          <w:tcPr>
            <w:tcW w:w="236" w:type="dxa"/>
            <w:gridSpan w:val="2"/>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trHeight w:val="1245" w:hRule="atLeast"/>
        </w:trPr>
        <w:tc>
          <w:tcPr>
            <w:tcW w:w="1552"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Arial"/>
                <w:b w:val="0"/>
                <w:bCs w:val="0"/>
                <w:kern w:val="0"/>
                <w:sz w:val="21"/>
                <w:szCs w:val="21"/>
              </w:rPr>
            </w:pPr>
          </w:p>
        </w:tc>
        <w:tc>
          <w:tcPr>
            <w:tcW w:w="2266" w:type="dxa"/>
            <w:tcBorders>
              <w:top w:val="nil"/>
              <w:left w:val="nil"/>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安全生产执行保障</w:t>
            </w:r>
          </w:p>
        </w:tc>
        <w:tc>
          <w:tcPr>
            <w:tcW w:w="5942" w:type="dxa"/>
            <w:gridSpan w:val="2"/>
            <w:tcBorders>
              <w:top w:val="nil"/>
              <w:left w:val="nil"/>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为医院的日常安全管理责任网格的具体点位方向管控工作的任务配置，责任人、执行频率、执行证据管理、延误提醒催办管理、数据分析和可视化管理座舱管理。</w:t>
            </w:r>
          </w:p>
        </w:tc>
        <w:tc>
          <w:tcPr>
            <w:tcW w:w="236" w:type="dxa"/>
            <w:gridSpan w:val="2"/>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trHeight w:val="1245" w:hRule="atLeast"/>
        </w:trPr>
        <w:tc>
          <w:tcPr>
            <w:tcW w:w="1552"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Arial"/>
                <w:b w:val="0"/>
                <w:bCs w:val="0"/>
                <w:kern w:val="0"/>
                <w:sz w:val="21"/>
                <w:szCs w:val="21"/>
              </w:rPr>
            </w:pPr>
          </w:p>
        </w:tc>
        <w:tc>
          <w:tcPr>
            <w:tcW w:w="2266" w:type="dxa"/>
            <w:tcBorders>
              <w:top w:val="nil"/>
              <w:left w:val="nil"/>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highlight w:val="none"/>
              </w:rPr>
            </w:pPr>
            <w:r>
              <w:rPr>
                <w:rFonts w:hint="eastAsia" w:ascii="宋体" w:hAnsi="宋体" w:eastAsia="宋体" w:cs="Arial"/>
                <w:b w:val="0"/>
                <w:bCs w:val="0"/>
                <w:kern w:val="0"/>
                <w:sz w:val="21"/>
                <w:szCs w:val="21"/>
                <w:highlight w:val="none"/>
              </w:rPr>
              <w:t>安全管理工作的履职进度追踪和分析</w:t>
            </w:r>
          </w:p>
        </w:tc>
        <w:tc>
          <w:tcPr>
            <w:tcW w:w="5942" w:type="dxa"/>
            <w:gridSpan w:val="2"/>
            <w:tcBorders>
              <w:top w:val="nil"/>
              <w:left w:val="nil"/>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highlight w:val="none"/>
              </w:rPr>
            </w:pPr>
            <w:r>
              <w:rPr>
                <w:rFonts w:hint="eastAsia" w:ascii="宋体" w:hAnsi="宋体" w:eastAsia="宋体" w:cs="Arial"/>
                <w:b w:val="0"/>
                <w:bCs w:val="0"/>
                <w:kern w:val="0"/>
                <w:sz w:val="21"/>
                <w:szCs w:val="21"/>
                <w:highlight w:val="none"/>
              </w:rPr>
              <w:t>系统自动化的针对各个科室以及全院的安全生产履职情况进行证据抓取并自动化生产定期的分科室及全院级别的安全生产履职情况定期报告。</w:t>
            </w:r>
          </w:p>
        </w:tc>
        <w:tc>
          <w:tcPr>
            <w:tcW w:w="236" w:type="dxa"/>
            <w:gridSpan w:val="2"/>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trHeight w:val="840" w:hRule="atLeast"/>
        </w:trPr>
        <w:tc>
          <w:tcPr>
            <w:tcW w:w="1552"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Arial"/>
                <w:b w:val="0"/>
                <w:bCs w:val="0"/>
                <w:kern w:val="0"/>
                <w:sz w:val="21"/>
                <w:szCs w:val="21"/>
              </w:rPr>
            </w:pPr>
          </w:p>
        </w:tc>
        <w:tc>
          <w:tcPr>
            <w:tcW w:w="2266" w:type="dxa"/>
            <w:tcBorders>
              <w:top w:val="nil"/>
              <w:left w:val="nil"/>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highlight w:val="none"/>
              </w:rPr>
            </w:pPr>
            <w:r>
              <w:rPr>
                <w:rFonts w:hint="eastAsia" w:ascii="宋体" w:hAnsi="宋体" w:eastAsia="宋体" w:cs="Arial"/>
                <w:b w:val="0"/>
                <w:bCs w:val="0"/>
                <w:kern w:val="0"/>
                <w:sz w:val="21"/>
                <w:szCs w:val="21"/>
                <w:highlight w:val="none"/>
              </w:rPr>
              <w:t>安全生产外包受控</w:t>
            </w:r>
          </w:p>
        </w:tc>
        <w:tc>
          <w:tcPr>
            <w:tcW w:w="5942" w:type="dxa"/>
            <w:gridSpan w:val="2"/>
            <w:tcBorders>
              <w:top w:val="nil"/>
              <w:left w:val="nil"/>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highlight w:val="none"/>
              </w:rPr>
            </w:pPr>
            <w:r>
              <w:rPr>
                <w:rFonts w:hint="eastAsia" w:ascii="宋体" w:hAnsi="宋体" w:eastAsia="宋体" w:cs="Arial"/>
                <w:b w:val="0"/>
                <w:bCs w:val="0"/>
                <w:kern w:val="0"/>
                <w:sz w:val="21"/>
                <w:szCs w:val="21"/>
                <w:highlight w:val="none"/>
              </w:rPr>
              <w:t>为医院提供合规的外包商责任管理的全套台账管理，能够覆盖到外包商人员强制培训。</w:t>
            </w:r>
          </w:p>
        </w:tc>
        <w:tc>
          <w:tcPr>
            <w:tcW w:w="236" w:type="dxa"/>
            <w:gridSpan w:val="2"/>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trHeight w:val="1239" w:hRule="atLeast"/>
        </w:trPr>
        <w:tc>
          <w:tcPr>
            <w:tcW w:w="1552" w:type="dxa"/>
            <w:vMerge w:val="restart"/>
            <w:tcBorders>
              <w:top w:val="nil"/>
              <w:left w:val="single" w:color="auto" w:sz="8" w:space="0"/>
              <w:bottom w:val="single" w:color="auto" w:sz="4" w:space="0"/>
              <w:right w:val="single" w:color="auto" w:sz="4" w:space="0"/>
            </w:tcBorders>
            <w:noWrap w:val="0"/>
            <w:vAlign w:val="center"/>
          </w:tcPr>
          <w:p>
            <w:pPr>
              <w:widowControl/>
              <w:numPr>
                <w:ilvl w:val="0"/>
                <w:numId w:val="3"/>
              </w:numPr>
              <w:jc w:val="center"/>
              <w:rPr>
                <w:rFonts w:ascii="宋体" w:hAnsi="宋体" w:eastAsia="宋体" w:cs="Arial"/>
                <w:b w:val="0"/>
                <w:bCs w:val="0"/>
                <w:kern w:val="0"/>
                <w:sz w:val="21"/>
                <w:szCs w:val="21"/>
              </w:rPr>
            </w:pPr>
            <w:r>
              <w:rPr>
                <w:rFonts w:hint="eastAsia" w:ascii="宋体" w:hAnsi="宋体" w:eastAsia="宋体" w:cs="Arial"/>
                <w:b w:val="0"/>
                <w:bCs w:val="0"/>
                <w:kern w:val="0"/>
                <w:sz w:val="21"/>
                <w:szCs w:val="21"/>
              </w:rPr>
              <w:t>安全生产检查整改</w:t>
            </w:r>
          </w:p>
        </w:tc>
        <w:tc>
          <w:tcPr>
            <w:tcW w:w="2266" w:type="dxa"/>
            <w:tcBorders>
              <w:top w:val="nil"/>
              <w:left w:val="nil"/>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安全生产例行检查</w:t>
            </w:r>
          </w:p>
        </w:tc>
        <w:tc>
          <w:tcPr>
            <w:tcW w:w="5942" w:type="dxa"/>
            <w:gridSpan w:val="2"/>
            <w:tcBorders>
              <w:top w:val="nil"/>
              <w:left w:val="nil"/>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系统位专家和医院安全管理部门提供可以覆盖全部科室、重点部位、重点风险、的安全管理风险检查的数字化检查任务记录和留痕功能体系。</w:t>
            </w:r>
          </w:p>
        </w:tc>
        <w:tc>
          <w:tcPr>
            <w:tcW w:w="236" w:type="dxa"/>
            <w:gridSpan w:val="2"/>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trHeight w:val="1665" w:hRule="atLeast"/>
        </w:trPr>
        <w:tc>
          <w:tcPr>
            <w:tcW w:w="1552"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Arial"/>
                <w:b w:val="0"/>
                <w:bCs w:val="0"/>
                <w:kern w:val="0"/>
                <w:sz w:val="21"/>
                <w:szCs w:val="21"/>
              </w:rPr>
            </w:pPr>
          </w:p>
        </w:tc>
        <w:tc>
          <w:tcPr>
            <w:tcW w:w="2266" w:type="dxa"/>
            <w:tcBorders>
              <w:top w:val="nil"/>
              <w:left w:val="nil"/>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安全生产问题整改</w:t>
            </w:r>
          </w:p>
        </w:tc>
        <w:tc>
          <w:tcPr>
            <w:tcW w:w="5942" w:type="dxa"/>
            <w:gridSpan w:val="2"/>
            <w:tcBorders>
              <w:top w:val="nil"/>
              <w:left w:val="nil"/>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系统需要提供给医院的全体员工及外包人员一整套安全生产问题和隐患闭环管理功能，并且联动在检查中发现的各种安全的问题和隐患进行整改全过程的跟踪和履职记录，对于延迟的任务进行催办和提醒，升值升级警报。</w:t>
            </w:r>
          </w:p>
        </w:tc>
        <w:tc>
          <w:tcPr>
            <w:tcW w:w="236" w:type="dxa"/>
            <w:gridSpan w:val="2"/>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trHeight w:val="1314" w:hRule="atLeast"/>
        </w:trPr>
        <w:tc>
          <w:tcPr>
            <w:tcW w:w="1552" w:type="dxa"/>
            <w:vMerge w:val="restart"/>
            <w:tcBorders>
              <w:top w:val="nil"/>
              <w:left w:val="single" w:color="auto" w:sz="8" w:space="0"/>
              <w:bottom w:val="single" w:color="auto" w:sz="4" w:space="0"/>
              <w:right w:val="single" w:color="auto" w:sz="4" w:space="0"/>
            </w:tcBorders>
            <w:noWrap w:val="0"/>
            <w:vAlign w:val="center"/>
          </w:tcPr>
          <w:p>
            <w:pPr>
              <w:widowControl/>
              <w:numPr>
                <w:ilvl w:val="0"/>
                <w:numId w:val="3"/>
              </w:numPr>
              <w:jc w:val="center"/>
              <w:rPr>
                <w:rFonts w:ascii="宋体" w:hAnsi="宋体" w:eastAsia="宋体" w:cs="Arial"/>
                <w:b w:val="0"/>
                <w:bCs w:val="0"/>
                <w:kern w:val="0"/>
                <w:sz w:val="21"/>
                <w:szCs w:val="21"/>
              </w:rPr>
            </w:pPr>
            <w:r>
              <w:rPr>
                <w:rFonts w:hint="eastAsia" w:ascii="宋体" w:hAnsi="宋体" w:eastAsia="宋体" w:cs="Arial"/>
                <w:b w:val="0"/>
                <w:bCs w:val="0"/>
                <w:kern w:val="0"/>
                <w:sz w:val="21"/>
                <w:szCs w:val="21"/>
              </w:rPr>
              <w:t>医院安全生产培训演练</w:t>
            </w:r>
          </w:p>
        </w:tc>
        <w:tc>
          <w:tcPr>
            <w:tcW w:w="2266" w:type="dxa"/>
            <w:tcBorders>
              <w:top w:val="nil"/>
              <w:left w:val="nil"/>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highlight w:val="none"/>
              </w:rPr>
            </w:pPr>
            <w:r>
              <w:rPr>
                <w:rFonts w:hint="eastAsia" w:ascii="宋体" w:hAnsi="宋体" w:eastAsia="宋体" w:cs="Arial"/>
                <w:b w:val="0"/>
                <w:bCs w:val="0"/>
                <w:kern w:val="0"/>
                <w:sz w:val="21"/>
                <w:szCs w:val="21"/>
                <w:highlight w:val="none"/>
              </w:rPr>
              <w:t>安全三级培训</w:t>
            </w:r>
          </w:p>
        </w:tc>
        <w:tc>
          <w:tcPr>
            <w:tcW w:w="5942" w:type="dxa"/>
            <w:gridSpan w:val="2"/>
            <w:tcBorders>
              <w:top w:val="nil"/>
              <w:left w:val="nil"/>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highlight w:val="none"/>
              </w:rPr>
            </w:pPr>
            <w:r>
              <w:rPr>
                <w:rFonts w:hint="eastAsia" w:ascii="宋体" w:hAnsi="宋体" w:eastAsia="宋体" w:cs="Arial"/>
                <w:b w:val="0"/>
                <w:bCs w:val="0"/>
                <w:kern w:val="0"/>
                <w:sz w:val="21"/>
                <w:szCs w:val="21"/>
                <w:highlight w:val="none"/>
              </w:rPr>
              <w:t>系统需要提供覆盖全院人员及外包商人员的安全培训数字化执行和培训后考核管理功能，包括数字化课件管理，考试题库管理、培训记录管理。以及计划数字化配置等。</w:t>
            </w:r>
          </w:p>
        </w:tc>
        <w:tc>
          <w:tcPr>
            <w:tcW w:w="236" w:type="dxa"/>
            <w:gridSpan w:val="2"/>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trHeight w:val="939" w:hRule="atLeast"/>
        </w:trPr>
        <w:tc>
          <w:tcPr>
            <w:tcW w:w="1552"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Arial"/>
                <w:b w:val="0"/>
                <w:bCs w:val="0"/>
                <w:kern w:val="0"/>
                <w:sz w:val="21"/>
                <w:szCs w:val="21"/>
              </w:rPr>
            </w:pPr>
          </w:p>
        </w:tc>
        <w:tc>
          <w:tcPr>
            <w:tcW w:w="2266" w:type="dxa"/>
            <w:tcBorders>
              <w:top w:val="nil"/>
              <w:left w:val="nil"/>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应急演练</w:t>
            </w:r>
          </w:p>
        </w:tc>
        <w:tc>
          <w:tcPr>
            <w:tcW w:w="5942" w:type="dxa"/>
            <w:gridSpan w:val="2"/>
            <w:tcBorders>
              <w:top w:val="nil"/>
              <w:left w:val="nil"/>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帮助医院管理各种应急预案的制定和更新和培训过程。</w:t>
            </w:r>
          </w:p>
        </w:tc>
        <w:tc>
          <w:tcPr>
            <w:tcW w:w="236" w:type="dxa"/>
            <w:gridSpan w:val="2"/>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trHeight w:val="765" w:hRule="atLeast"/>
        </w:trPr>
        <w:tc>
          <w:tcPr>
            <w:tcW w:w="1552"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Arial"/>
                <w:b w:val="0"/>
                <w:bCs w:val="0"/>
                <w:kern w:val="0"/>
                <w:sz w:val="21"/>
                <w:szCs w:val="21"/>
              </w:rPr>
            </w:pPr>
          </w:p>
        </w:tc>
        <w:tc>
          <w:tcPr>
            <w:tcW w:w="2266" w:type="dxa"/>
            <w:tcBorders>
              <w:top w:val="nil"/>
              <w:left w:val="nil"/>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安全（文化）月</w:t>
            </w:r>
          </w:p>
        </w:tc>
        <w:tc>
          <w:tcPr>
            <w:tcW w:w="5942" w:type="dxa"/>
            <w:gridSpan w:val="2"/>
            <w:tcBorders>
              <w:top w:val="nil"/>
              <w:left w:val="nil"/>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签约专家会根据每年度卫健委的主题来协助医院策划相关的安全月活动，包括专项培训等</w:t>
            </w:r>
          </w:p>
        </w:tc>
        <w:tc>
          <w:tcPr>
            <w:tcW w:w="236" w:type="dxa"/>
            <w:gridSpan w:val="2"/>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trHeight w:val="1329" w:hRule="atLeast"/>
        </w:trPr>
        <w:tc>
          <w:tcPr>
            <w:tcW w:w="1552"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Arial"/>
                <w:b w:val="0"/>
                <w:bCs w:val="0"/>
                <w:kern w:val="0"/>
                <w:sz w:val="21"/>
                <w:szCs w:val="21"/>
              </w:rPr>
            </w:pPr>
            <w:r>
              <w:rPr>
                <w:rFonts w:hint="eastAsia" w:ascii="宋体" w:hAnsi="宋体" w:eastAsia="宋体" w:cs="Arial"/>
                <w:b w:val="0"/>
                <w:bCs w:val="0"/>
                <w:kern w:val="0"/>
                <w:sz w:val="21"/>
                <w:szCs w:val="21"/>
              </w:rPr>
              <w:t>5、消防安全管理</w:t>
            </w:r>
          </w:p>
        </w:tc>
        <w:tc>
          <w:tcPr>
            <w:tcW w:w="2266" w:type="dxa"/>
            <w:tcBorders>
              <w:top w:val="nil"/>
              <w:left w:val="nil"/>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消防管理推进提醒</w:t>
            </w:r>
          </w:p>
        </w:tc>
        <w:tc>
          <w:tcPr>
            <w:tcW w:w="5942" w:type="dxa"/>
            <w:gridSpan w:val="2"/>
            <w:tcBorders>
              <w:top w:val="nil"/>
              <w:left w:val="nil"/>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系统支持对消防相关的工作记录，台账资料、履职痕迹流程实现提醒和更新催办功能，有相关第三方测评活动的计划，记录归档台账的提醒和警报</w:t>
            </w:r>
          </w:p>
        </w:tc>
        <w:tc>
          <w:tcPr>
            <w:tcW w:w="236" w:type="dxa"/>
            <w:gridSpan w:val="2"/>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trHeight w:val="624" w:hRule="atLeast"/>
        </w:trPr>
        <w:tc>
          <w:tcPr>
            <w:tcW w:w="1552"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Arial"/>
                <w:b w:val="0"/>
                <w:bCs w:val="0"/>
                <w:kern w:val="0"/>
                <w:sz w:val="21"/>
                <w:szCs w:val="21"/>
              </w:rPr>
            </w:pPr>
          </w:p>
        </w:tc>
        <w:tc>
          <w:tcPr>
            <w:tcW w:w="2266" w:type="dxa"/>
            <w:tcBorders>
              <w:top w:val="nil"/>
              <w:left w:val="nil"/>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消防系统的数据交换</w:t>
            </w:r>
          </w:p>
        </w:tc>
        <w:tc>
          <w:tcPr>
            <w:tcW w:w="5942" w:type="dxa"/>
            <w:gridSpan w:val="2"/>
            <w:tcBorders>
              <w:top w:val="nil"/>
              <w:left w:val="nil"/>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系统可以支持未来与消防管理系统实现数据交换</w:t>
            </w:r>
          </w:p>
        </w:tc>
        <w:tc>
          <w:tcPr>
            <w:tcW w:w="236" w:type="dxa"/>
            <w:gridSpan w:val="2"/>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trHeight w:val="630" w:hRule="atLeast"/>
        </w:trPr>
        <w:tc>
          <w:tcPr>
            <w:tcW w:w="1552"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Arial"/>
                <w:b w:val="0"/>
                <w:bCs w:val="0"/>
                <w:kern w:val="0"/>
                <w:sz w:val="21"/>
                <w:szCs w:val="21"/>
              </w:rPr>
            </w:pPr>
          </w:p>
        </w:tc>
        <w:tc>
          <w:tcPr>
            <w:tcW w:w="2266" w:type="dxa"/>
            <w:tcBorders>
              <w:top w:val="nil"/>
              <w:left w:val="nil"/>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消防培训演练</w:t>
            </w:r>
          </w:p>
        </w:tc>
        <w:tc>
          <w:tcPr>
            <w:tcW w:w="5942" w:type="dxa"/>
            <w:gridSpan w:val="2"/>
            <w:tcBorders>
              <w:top w:val="nil"/>
              <w:left w:val="nil"/>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有相关的全员培训和演练方面的培训和活动管理功能</w:t>
            </w:r>
          </w:p>
        </w:tc>
        <w:tc>
          <w:tcPr>
            <w:tcW w:w="236" w:type="dxa"/>
            <w:gridSpan w:val="2"/>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trHeight w:val="566" w:hRule="atLeast"/>
        </w:trPr>
        <w:tc>
          <w:tcPr>
            <w:tcW w:w="1552"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Arial"/>
                <w:b w:val="0"/>
                <w:bCs w:val="0"/>
                <w:kern w:val="0"/>
                <w:sz w:val="21"/>
                <w:szCs w:val="21"/>
              </w:rPr>
            </w:pPr>
          </w:p>
        </w:tc>
        <w:tc>
          <w:tcPr>
            <w:tcW w:w="2266" w:type="dxa"/>
            <w:tcBorders>
              <w:top w:val="nil"/>
              <w:left w:val="nil"/>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消防检验审核管理</w:t>
            </w:r>
          </w:p>
        </w:tc>
        <w:tc>
          <w:tcPr>
            <w:tcW w:w="5942" w:type="dxa"/>
            <w:gridSpan w:val="2"/>
            <w:tcBorders>
              <w:top w:val="nil"/>
              <w:left w:val="nil"/>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有相关第三方测评活动的计划，记录归档台账的提醒和警报</w:t>
            </w:r>
          </w:p>
        </w:tc>
        <w:tc>
          <w:tcPr>
            <w:tcW w:w="236" w:type="dxa"/>
            <w:gridSpan w:val="2"/>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trHeight w:val="1035" w:hRule="atLeast"/>
        </w:trPr>
        <w:tc>
          <w:tcPr>
            <w:tcW w:w="1552"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Arial"/>
                <w:b w:val="0"/>
                <w:bCs w:val="0"/>
                <w:kern w:val="0"/>
                <w:sz w:val="21"/>
                <w:szCs w:val="21"/>
              </w:rPr>
            </w:pPr>
          </w:p>
        </w:tc>
        <w:tc>
          <w:tcPr>
            <w:tcW w:w="2266" w:type="dxa"/>
            <w:tcBorders>
              <w:top w:val="nil"/>
              <w:left w:val="nil"/>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消防安全点检、问题隐患管理</w:t>
            </w:r>
          </w:p>
        </w:tc>
        <w:tc>
          <w:tcPr>
            <w:tcW w:w="5942" w:type="dxa"/>
            <w:gridSpan w:val="2"/>
            <w:tcBorders>
              <w:top w:val="nil"/>
              <w:left w:val="nil"/>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联动在检查中发现的各种安全的问题和隐患进行整改全过程的跟踪和履职记录，对于延迟的任务进行催办和提醒，升值升级警报，根据各省市的卫健委要求配置先关的合规台账记录的提醒和更新催办功能</w:t>
            </w:r>
          </w:p>
        </w:tc>
        <w:tc>
          <w:tcPr>
            <w:tcW w:w="236" w:type="dxa"/>
            <w:gridSpan w:val="2"/>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trHeight w:val="1179" w:hRule="atLeast"/>
        </w:trPr>
        <w:tc>
          <w:tcPr>
            <w:tcW w:w="1552"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Arial"/>
                <w:b w:val="0"/>
                <w:bCs w:val="0"/>
                <w:kern w:val="0"/>
                <w:sz w:val="21"/>
                <w:szCs w:val="21"/>
              </w:rPr>
            </w:pPr>
            <w:r>
              <w:rPr>
                <w:rFonts w:hint="eastAsia" w:ascii="宋体" w:hAnsi="宋体" w:eastAsia="宋体" w:cs="Arial"/>
                <w:b w:val="0"/>
                <w:bCs w:val="0"/>
                <w:kern w:val="0"/>
                <w:sz w:val="21"/>
                <w:szCs w:val="21"/>
              </w:rPr>
              <w:t>6、危险化学品管理</w:t>
            </w:r>
          </w:p>
        </w:tc>
        <w:tc>
          <w:tcPr>
            <w:tcW w:w="2266" w:type="dxa"/>
            <w:tcBorders>
              <w:top w:val="nil"/>
              <w:left w:val="nil"/>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管理合规流程完善制度记录台账</w:t>
            </w:r>
          </w:p>
        </w:tc>
        <w:tc>
          <w:tcPr>
            <w:tcW w:w="5942" w:type="dxa"/>
            <w:gridSpan w:val="2"/>
            <w:tcBorders>
              <w:top w:val="nil"/>
              <w:left w:val="nil"/>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根据各省市的卫健委要求配置先关的合规台账记录的提醒和更新催办功能（当前医院的危废管理均在按照公安局和环保局的强制要求进行响应的管理）</w:t>
            </w:r>
          </w:p>
        </w:tc>
        <w:tc>
          <w:tcPr>
            <w:tcW w:w="236" w:type="dxa"/>
            <w:gridSpan w:val="2"/>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trHeight w:val="690" w:hRule="atLeast"/>
        </w:trPr>
        <w:tc>
          <w:tcPr>
            <w:tcW w:w="1552"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Arial"/>
                <w:b w:val="0"/>
                <w:bCs w:val="0"/>
                <w:kern w:val="0"/>
                <w:sz w:val="21"/>
                <w:szCs w:val="21"/>
              </w:rPr>
            </w:pPr>
          </w:p>
        </w:tc>
        <w:tc>
          <w:tcPr>
            <w:tcW w:w="2266" w:type="dxa"/>
            <w:tcBorders>
              <w:top w:val="nil"/>
              <w:left w:val="nil"/>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预案培训演练</w:t>
            </w:r>
          </w:p>
        </w:tc>
        <w:tc>
          <w:tcPr>
            <w:tcW w:w="5942" w:type="dxa"/>
            <w:gridSpan w:val="2"/>
            <w:tcBorders>
              <w:top w:val="nil"/>
              <w:left w:val="nil"/>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有相关的全员培训和演练方面的培训和活动管理功能</w:t>
            </w:r>
          </w:p>
        </w:tc>
        <w:tc>
          <w:tcPr>
            <w:tcW w:w="236" w:type="dxa"/>
            <w:gridSpan w:val="2"/>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trHeight w:val="1299" w:hRule="atLeast"/>
        </w:trPr>
        <w:tc>
          <w:tcPr>
            <w:tcW w:w="1552"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Arial"/>
                <w:b w:val="0"/>
                <w:bCs w:val="0"/>
                <w:kern w:val="0"/>
                <w:sz w:val="21"/>
                <w:szCs w:val="21"/>
              </w:rPr>
            </w:pPr>
          </w:p>
        </w:tc>
        <w:tc>
          <w:tcPr>
            <w:tcW w:w="2266" w:type="dxa"/>
            <w:tcBorders>
              <w:top w:val="nil"/>
              <w:left w:val="nil"/>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全过程操作合规</w:t>
            </w:r>
          </w:p>
        </w:tc>
        <w:tc>
          <w:tcPr>
            <w:tcW w:w="5942" w:type="dxa"/>
            <w:gridSpan w:val="2"/>
            <w:tcBorders>
              <w:top w:val="nil"/>
              <w:left w:val="nil"/>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当前医院的易燃、有毒、危废管理均在按照消防，公安局，和环保局，的强制要求进行响应的管理。 医安云协助管理台账记录和相关检查检验的提醒工作</w:t>
            </w:r>
          </w:p>
        </w:tc>
        <w:tc>
          <w:tcPr>
            <w:tcW w:w="236" w:type="dxa"/>
            <w:gridSpan w:val="2"/>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trHeight w:val="566" w:hRule="atLeast"/>
        </w:trPr>
        <w:tc>
          <w:tcPr>
            <w:tcW w:w="1552" w:type="dxa"/>
            <w:vMerge w:val="restart"/>
            <w:tcBorders>
              <w:top w:val="nil"/>
              <w:left w:val="single" w:color="auto" w:sz="8" w:space="0"/>
              <w:bottom w:val="single" w:color="auto" w:sz="4" w:space="0"/>
              <w:right w:val="single" w:color="auto" w:sz="4" w:space="0"/>
            </w:tcBorders>
            <w:noWrap w:val="0"/>
            <w:vAlign w:val="center"/>
          </w:tcPr>
          <w:p>
            <w:pPr>
              <w:widowControl/>
              <w:numPr>
                <w:ilvl w:val="0"/>
                <w:numId w:val="4"/>
              </w:numPr>
              <w:jc w:val="center"/>
              <w:rPr>
                <w:rFonts w:ascii="宋体" w:hAnsi="宋体" w:eastAsia="宋体" w:cs="Arial"/>
                <w:b w:val="0"/>
                <w:bCs w:val="0"/>
                <w:kern w:val="0"/>
                <w:sz w:val="21"/>
                <w:szCs w:val="21"/>
              </w:rPr>
            </w:pPr>
            <w:r>
              <w:rPr>
                <w:rFonts w:hint="eastAsia" w:ascii="宋体" w:hAnsi="宋体" w:eastAsia="宋体" w:cs="Arial"/>
                <w:b w:val="0"/>
                <w:bCs w:val="0"/>
                <w:kern w:val="0"/>
                <w:sz w:val="21"/>
                <w:szCs w:val="21"/>
              </w:rPr>
              <w:t>外包项目安全生产</w:t>
            </w:r>
          </w:p>
          <w:p>
            <w:pPr>
              <w:widowControl/>
              <w:numPr>
                <w:ilvl w:val="0"/>
                <w:numId w:val="0"/>
              </w:numPr>
              <w:jc w:val="center"/>
              <w:rPr>
                <w:rFonts w:ascii="宋体" w:hAnsi="宋体" w:eastAsia="宋体" w:cs="Arial"/>
                <w:b w:val="0"/>
                <w:bCs w:val="0"/>
                <w:kern w:val="0"/>
                <w:sz w:val="21"/>
                <w:szCs w:val="21"/>
              </w:rPr>
            </w:pPr>
            <w:r>
              <w:rPr>
                <w:rFonts w:hint="eastAsia" w:ascii="宋体" w:hAnsi="宋体" w:eastAsia="宋体" w:cs="Arial"/>
                <w:b w:val="0"/>
                <w:bCs w:val="0"/>
                <w:kern w:val="0"/>
                <w:sz w:val="21"/>
                <w:szCs w:val="21"/>
              </w:rPr>
              <w:t>风险管控</w:t>
            </w:r>
          </w:p>
        </w:tc>
        <w:tc>
          <w:tcPr>
            <w:tcW w:w="2266" w:type="dxa"/>
            <w:tcBorders>
              <w:top w:val="nil"/>
              <w:left w:val="nil"/>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承包商安全管理准入审核</w:t>
            </w:r>
          </w:p>
        </w:tc>
        <w:tc>
          <w:tcPr>
            <w:tcW w:w="5942" w:type="dxa"/>
            <w:gridSpan w:val="2"/>
            <w:tcBorders>
              <w:top w:val="nil"/>
              <w:left w:val="nil"/>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承包商建档管理，承包商需要提供的各种资质的管理</w:t>
            </w:r>
          </w:p>
        </w:tc>
        <w:tc>
          <w:tcPr>
            <w:tcW w:w="236" w:type="dxa"/>
            <w:gridSpan w:val="2"/>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trHeight w:val="476" w:hRule="atLeast"/>
        </w:trPr>
        <w:tc>
          <w:tcPr>
            <w:tcW w:w="1552"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Arial"/>
                <w:b w:val="0"/>
                <w:bCs w:val="0"/>
                <w:kern w:val="0"/>
                <w:sz w:val="21"/>
                <w:szCs w:val="21"/>
              </w:rPr>
            </w:pPr>
          </w:p>
        </w:tc>
        <w:tc>
          <w:tcPr>
            <w:tcW w:w="2266" w:type="dxa"/>
            <w:tcBorders>
              <w:top w:val="nil"/>
              <w:left w:val="nil"/>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承包商人员培训管理</w:t>
            </w:r>
          </w:p>
        </w:tc>
        <w:tc>
          <w:tcPr>
            <w:tcW w:w="5942" w:type="dxa"/>
            <w:gridSpan w:val="2"/>
            <w:tcBorders>
              <w:top w:val="nil"/>
              <w:left w:val="nil"/>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承包商的人员安全培训手机端学习及培训记录管理管理</w:t>
            </w:r>
          </w:p>
        </w:tc>
        <w:tc>
          <w:tcPr>
            <w:tcW w:w="236" w:type="dxa"/>
            <w:gridSpan w:val="2"/>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trHeight w:val="566" w:hRule="atLeast"/>
        </w:trPr>
        <w:tc>
          <w:tcPr>
            <w:tcW w:w="1552"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Arial"/>
                <w:b w:val="0"/>
                <w:bCs w:val="0"/>
                <w:kern w:val="0"/>
                <w:sz w:val="21"/>
                <w:szCs w:val="21"/>
              </w:rPr>
            </w:pPr>
          </w:p>
        </w:tc>
        <w:tc>
          <w:tcPr>
            <w:tcW w:w="2266" w:type="dxa"/>
            <w:tcBorders>
              <w:top w:val="nil"/>
              <w:left w:val="nil"/>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承包商履职过程留痕</w:t>
            </w:r>
          </w:p>
        </w:tc>
        <w:tc>
          <w:tcPr>
            <w:tcW w:w="5942" w:type="dxa"/>
            <w:gridSpan w:val="2"/>
            <w:tcBorders>
              <w:top w:val="nil"/>
              <w:left w:val="nil"/>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承包商管理的医院区域的安全风险防控工作的履职管理</w:t>
            </w:r>
          </w:p>
        </w:tc>
        <w:tc>
          <w:tcPr>
            <w:tcW w:w="236" w:type="dxa"/>
            <w:gridSpan w:val="2"/>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trHeight w:val="566" w:hRule="atLeast"/>
        </w:trPr>
        <w:tc>
          <w:tcPr>
            <w:tcW w:w="1552"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Arial"/>
                <w:b w:val="0"/>
                <w:bCs w:val="0"/>
                <w:kern w:val="0"/>
                <w:sz w:val="21"/>
                <w:szCs w:val="21"/>
              </w:rPr>
            </w:pPr>
            <w:r>
              <w:rPr>
                <w:rFonts w:hint="eastAsia" w:ascii="宋体" w:hAnsi="宋体" w:eastAsia="宋体" w:cs="Arial"/>
                <w:b w:val="0"/>
                <w:bCs w:val="0"/>
                <w:kern w:val="0"/>
                <w:sz w:val="21"/>
                <w:szCs w:val="21"/>
              </w:rPr>
              <w:t>8、后勤安全生产管理和设备安全</w:t>
            </w:r>
          </w:p>
        </w:tc>
        <w:tc>
          <w:tcPr>
            <w:tcW w:w="2266" w:type="dxa"/>
            <w:tcBorders>
              <w:top w:val="nil"/>
              <w:left w:val="nil"/>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国家卫健委要求落实</w:t>
            </w:r>
          </w:p>
        </w:tc>
        <w:tc>
          <w:tcPr>
            <w:tcW w:w="5942" w:type="dxa"/>
            <w:gridSpan w:val="2"/>
            <w:tcBorders>
              <w:top w:val="nil"/>
              <w:left w:val="nil"/>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国家卫健委相关后勤管理的各种要求配套的台账和检查记录的功能</w:t>
            </w:r>
          </w:p>
        </w:tc>
        <w:tc>
          <w:tcPr>
            <w:tcW w:w="236" w:type="dxa"/>
            <w:gridSpan w:val="2"/>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trHeight w:val="690" w:hRule="atLeast"/>
        </w:trPr>
        <w:tc>
          <w:tcPr>
            <w:tcW w:w="1552"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Arial"/>
                <w:b w:val="0"/>
                <w:bCs w:val="0"/>
                <w:kern w:val="0"/>
                <w:sz w:val="21"/>
                <w:szCs w:val="21"/>
              </w:rPr>
            </w:pPr>
          </w:p>
        </w:tc>
        <w:tc>
          <w:tcPr>
            <w:tcW w:w="2266" w:type="dxa"/>
            <w:tcBorders>
              <w:top w:val="nil"/>
              <w:left w:val="nil"/>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设施设备管理</w:t>
            </w:r>
          </w:p>
        </w:tc>
        <w:tc>
          <w:tcPr>
            <w:tcW w:w="5942" w:type="dxa"/>
            <w:gridSpan w:val="2"/>
            <w:tcBorders>
              <w:top w:val="nil"/>
              <w:left w:val="nil"/>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可以对各种设施设备进行建档管理和点检管理，以及定期的强制性检验的提醒</w:t>
            </w:r>
          </w:p>
        </w:tc>
        <w:tc>
          <w:tcPr>
            <w:tcW w:w="236" w:type="dxa"/>
            <w:gridSpan w:val="2"/>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trHeight w:val="414" w:hRule="atLeast"/>
        </w:trPr>
        <w:tc>
          <w:tcPr>
            <w:tcW w:w="1552"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Arial"/>
                <w:b w:val="0"/>
                <w:bCs w:val="0"/>
                <w:kern w:val="0"/>
                <w:sz w:val="21"/>
                <w:szCs w:val="21"/>
              </w:rPr>
            </w:pPr>
          </w:p>
        </w:tc>
        <w:tc>
          <w:tcPr>
            <w:tcW w:w="2266" w:type="dxa"/>
            <w:tcBorders>
              <w:top w:val="nil"/>
              <w:left w:val="nil"/>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建筑安全</w:t>
            </w:r>
          </w:p>
        </w:tc>
        <w:tc>
          <w:tcPr>
            <w:tcW w:w="5942" w:type="dxa"/>
            <w:gridSpan w:val="2"/>
            <w:tcBorders>
              <w:top w:val="nil"/>
              <w:left w:val="nil"/>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系统带有既有建筑的相关管理功能</w:t>
            </w:r>
          </w:p>
        </w:tc>
        <w:tc>
          <w:tcPr>
            <w:tcW w:w="236" w:type="dxa"/>
            <w:gridSpan w:val="2"/>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trHeight w:val="600" w:hRule="atLeast"/>
        </w:trPr>
        <w:tc>
          <w:tcPr>
            <w:tcW w:w="1552" w:type="dxa"/>
            <w:vMerge w:val="continue"/>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Arial"/>
                <w:b w:val="0"/>
                <w:bCs w:val="0"/>
                <w:kern w:val="0"/>
                <w:sz w:val="21"/>
                <w:szCs w:val="21"/>
              </w:rPr>
            </w:pPr>
          </w:p>
        </w:tc>
        <w:tc>
          <w:tcPr>
            <w:tcW w:w="2266" w:type="dxa"/>
            <w:tcBorders>
              <w:top w:val="nil"/>
              <w:left w:val="nil"/>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用电用气</w:t>
            </w:r>
          </w:p>
        </w:tc>
        <w:tc>
          <w:tcPr>
            <w:tcW w:w="5942" w:type="dxa"/>
            <w:gridSpan w:val="2"/>
            <w:tcBorders>
              <w:top w:val="nil"/>
              <w:left w:val="nil"/>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系统带有专家制定的每个安全网格区域的用电安全相关的点检问题和要求</w:t>
            </w:r>
          </w:p>
        </w:tc>
        <w:tc>
          <w:tcPr>
            <w:tcW w:w="236" w:type="dxa"/>
            <w:gridSpan w:val="2"/>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trHeight w:val="1215" w:hRule="atLeast"/>
        </w:trPr>
        <w:tc>
          <w:tcPr>
            <w:tcW w:w="1552"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Arial"/>
                <w:b w:val="0"/>
                <w:bCs w:val="0"/>
                <w:kern w:val="0"/>
                <w:sz w:val="21"/>
                <w:szCs w:val="21"/>
                <w:highlight w:val="none"/>
              </w:rPr>
            </w:pPr>
            <w:r>
              <w:rPr>
                <w:rFonts w:hint="eastAsia" w:ascii="宋体" w:hAnsi="宋体" w:eastAsia="宋体" w:cs="Arial"/>
                <w:b w:val="0"/>
                <w:bCs w:val="0"/>
                <w:kern w:val="0"/>
                <w:sz w:val="21"/>
                <w:szCs w:val="21"/>
                <w:highlight w:val="none"/>
              </w:rPr>
              <w:t>9、其他安全生产功能</w:t>
            </w:r>
          </w:p>
        </w:tc>
        <w:tc>
          <w:tcPr>
            <w:tcW w:w="2266" w:type="dxa"/>
            <w:tcBorders>
              <w:top w:val="nil"/>
              <w:left w:val="nil"/>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highlight w:val="none"/>
              </w:rPr>
            </w:pPr>
            <w:r>
              <w:rPr>
                <w:rFonts w:hint="eastAsia" w:ascii="宋体" w:hAnsi="宋体" w:eastAsia="宋体" w:cs="Arial"/>
                <w:b w:val="0"/>
                <w:bCs w:val="0"/>
                <w:kern w:val="0"/>
                <w:sz w:val="21"/>
                <w:szCs w:val="21"/>
                <w:highlight w:val="none"/>
              </w:rPr>
              <w:t>整体风险情况评价</w:t>
            </w:r>
          </w:p>
        </w:tc>
        <w:tc>
          <w:tcPr>
            <w:tcW w:w="5942" w:type="dxa"/>
            <w:gridSpan w:val="2"/>
            <w:tcBorders>
              <w:top w:val="nil"/>
              <w:left w:val="nil"/>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highlight w:val="none"/>
              </w:rPr>
            </w:pPr>
            <w:r>
              <w:rPr>
                <w:rFonts w:hint="eastAsia" w:ascii="宋体" w:hAnsi="宋体" w:eastAsia="宋体" w:cs="Arial"/>
                <w:b w:val="0"/>
                <w:bCs w:val="0"/>
                <w:kern w:val="0"/>
                <w:sz w:val="21"/>
                <w:szCs w:val="21"/>
                <w:highlight w:val="none"/>
              </w:rPr>
              <w:t>系统通过内置的数百个数据点的情况自动收集医院安全管理工作的履职情况，进行分析以后将结果可视化，引导专家和安全管理负责人关注医院的合规问题和履职问题。</w:t>
            </w:r>
          </w:p>
        </w:tc>
        <w:tc>
          <w:tcPr>
            <w:tcW w:w="236" w:type="dxa"/>
            <w:gridSpan w:val="2"/>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trHeight w:val="1415" w:hRule="atLeast"/>
        </w:trPr>
        <w:tc>
          <w:tcPr>
            <w:tcW w:w="1552" w:type="dxa"/>
            <w:tcBorders>
              <w:top w:val="nil"/>
              <w:left w:val="single" w:color="auto" w:sz="8" w:space="0"/>
              <w:bottom w:val="single" w:color="auto" w:sz="4" w:space="0"/>
              <w:right w:val="single" w:color="auto" w:sz="4" w:space="0"/>
            </w:tcBorders>
            <w:noWrap w:val="0"/>
            <w:vAlign w:val="center"/>
          </w:tcPr>
          <w:p>
            <w:pPr>
              <w:widowControl/>
              <w:jc w:val="center"/>
              <w:rPr>
                <w:rFonts w:ascii="Arial" w:hAnsi="Arial" w:eastAsia="宋体" w:cs="Arial"/>
                <w:b w:val="0"/>
                <w:bCs w:val="0"/>
                <w:kern w:val="0"/>
                <w:sz w:val="21"/>
                <w:szCs w:val="21"/>
              </w:rPr>
            </w:pPr>
            <w:r>
              <w:rPr>
                <w:rFonts w:ascii="Arial" w:hAnsi="Arial" w:eastAsia="宋体" w:cs="Arial"/>
                <w:b w:val="0"/>
                <w:bCs w:val="0"/>
                <w:kern w:val="0"/>
                <w:sz w:val="21"/>
                <w:szCs w:val="21"/>
              </w:rPr>
              <w:t>10</w:t>
            </w:r>
            <w:r>
              <w:rPr>
                <w:rFonts w:hint="eastAsia" w:ascii="宋体" w:hAnsi="宋体" w:eastAsia="宋体" w:cs="Arial"/>
                <w:b w:val="0"/>
                <w:bCs w:val="0"/>
                <w:kern w:val="0"/>
                <w:sz w:val="21"/>
                <w:szCs w:val="21"/>
              </w:rPr>
              <w:t>、系统配套手机端</w:t>
            </w:r>
          </w:p>
        </w:tc>
        <w:tc>
          <w:tcPr>
            <w:tcW w:w="2266" w:type="dxa"/>
            <w:tcBorders>
              <w:top w:val="nil"/>
              <w:left w:val="nil"/>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手机端</w:t>
            </w:r>
          </w:p>
        </w:tc>
        <w:tc>
          <w:tcPr>
            <w:tcW w:w="5942" w:type="dxa"/>
            <w:gridSpan w:val="2"/>
            <w:tcBorders>
              <w:top w:val="nil"/>
              <w:left w:val="nil"/>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系统配套手机端应当提供用户可以在手机端完成每个人员的履职工作包括：完成安全检查、完成安全线上培训，考试、完成安全隐患整改的各项任务、查看各种通知和预案、接收各项安全分析统计报告等</w:t>
            </w:r>
          </w:p>
        </w:tc>
        <w:tc>
          <w:tcPr>
            <w:tcW w:w="236" w:type="dxa"/>
            <w:gridSpan w:val="2"/>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trHeight w:val="849" w:hRule="atLeast"/>
        </w:trPr>
        <w:tc>
          <w:tcPr>
            <w:tcW w:w="1552" w:type="dxa"/>
            <w:tcBorders>
              <w:top w:val="nil"/>
              <w:left w:val="single" w:color="auto" w:sz="8" w:space="0"/>
              <w:bottom w:val="single" w:color="auto" w:sz="4" w:space="0"/>
              <w:right w:val="single" w:color="auto" w:sz="4" w:space="0"/>
            </w:tcBorders>
            <w:noWrap w:val="0"/>
            <w:vAlign w:val="center"/>
          </w:tcPr>
          <w:p>
            <w:pPr>
              <w:widowControl/>
              <w:jc w:val="center"/>
              <w:rPr>
                <w:rFonts w:ascii="Arial" w:hAnsi="Arial" w:eastAsia="宋体" w:cs="Arial"/>
                <w:b w:val="0"/>
                <w:bCs w:val="0"/>
                <w:kern w:val="0"/>
                <w:sz w:val="21"/>
                <w:szCs w:val="21"/>
              </w:rPr>
            </w:pPr>
            <w:r>
              <w:rPr>
                <w:rFonts w:ascii="Arial" w:hAnsi="Arial" w:eastAsia="宋体" w:cs="Arial"/>
                <w:b w:val="0"/>
                <w:bCs w:val="0"/>
                <w:kern w:val="0"/>
                <w:sz w:val="21"/>
                <w:szCs w:val="21"/>
              </w:rPr>
              <w:t>11</w:t>
            </w:r>
            <w:r>
              <w:rPr>
                <w:rFonts w:hint="eastAsia" w:ascii="宋体" w:hAnsi="宋体" w:eastAsia="宋体" w:cs="Arial"/>
                <w:b w:val="0"/>
                <w:bCs w:val="0"/>
                <w:kern w:val="0"/>
                <w:sz w:val="21"/>
                <w:szCs w:val="21"/>
              </w:rPr>
              <w:t>、系统数据管理</w:t>
            </w:r>
          </w:p>
        </w:tc>
        <w:tc>
          <w:tcPr>
            <w:tcW w:w="2266" w:type="dxa"/>
            <w:tcBorders>
              <w:top w:val="nil"/>
              <w:left w:val="nil"/>
              <w:bottom w:val="single" w:color="auto" w:sz="4" w:space="0"/>
              <w:right w:val="single" w:color="auto" w:sz="4"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系统数据共享</w:t>
            </w:r>
          </w:p>
        </w:tc>
        <w:tc>
          <w:tcPr>
            <w:tcW w:w="5942" w:type="dxa"/>
            <w:gridSpan w:val="2"/>
            <w:tcBorders>
              <w:top w:val="nil"/>
              <w:left w:val="nil"/>
              <w:bottom w:val="single" w:color="auto" w:sz="4" w:space="0"/>
              <w:right w:val="single" w:color="auto" w:sz="8" w:space="0"/>
            </w:tcBorders>
            <w:noWrap w:val="0"/>
            <w:vAlign w:val="center"/>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系统应当可以实现在不分享具体内容的情况下，实现统计数据与卫健委的上报同步，同时可以接收卫健委的安全管理工作流程的各项内容下发。</w:t>
            </w:r>
          </w:p>
        </w:tc>
        <w:tc>
          <w:tcPr>
            <w:tcW w:w="236" w:type="dxa"/>
            <w:gridSpan w:val="2"/>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trHeight w:val="858" w:hRule="atLeast"/>
        </w:trPr>
        <w:tc>
          <w:tcPr>
            <w:tcW w:w="1552"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Arial" w:hAnsi="Arial" w:eastAsia="宋体" w:cs="Arial"/>
                <w:b w:val="0"/>
                <w:bCs w:val="0"/>
                <w:kern w:val="0"/>
                <w:sz w:val="21"/>
                <w:szCs w:val="21"/>
              </w:rPr>
            </w:pPr>
            <w:r>
              <w:rPr>
                <w:rFonts w:ascii="Arial" w:hAnsi="Arial" w:eastAsia="宋体" w:cs="Arial"/>
                <w:b w:val="0"/>
                <w:bCs w:val="0"/>
                <w:kern w:val="0"/>
                <w:sz w:val="21"/>
                <w:szCs w:val="21"/>
              </w:rPr>
              <w:t>12</w:t>
            </w:r>
            <w:r>
              <w:rPr>
                <w:rFonts w:hint="eastAsia" w:ascii="宋体" w:hAnsi="宋体" w:eastAsia="宋体" w:cs="Arial"/>
                <w:b w:val="0"/>
                <w:bCs w:val="0"/>
                <w:kern w:val="0"/>
                <w:sz w:val="21"/>
                <w:szCs w:val="21"/>
              </w:rPr>
              <w:t>、系统数据可视化座舱</w:t>
            </w:r>
          </w:p>
        </w:tc>
        <w:tc>
          <w:tcPr>
            <w:tcW w:w="226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数据座舱</w:t>
            </w:r>
          </w:p>
        </w:tc>
        <w:tc>
          <w:tcPr>
            <w:tcW w:w="5942"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eastAsia="宋体" w:cs="Arial"/>
                <w:b w:val="0"/>
                <w:bCs w:val="0"/>
                <w:kern w:val="0"/>
                <w:sz w:val="21"/>
                <w:szCs w:val="21"/>
              </w:rPr>
            </w:pPr>
            <w:r>
              <w:rPr>
                <w:rFonts w:hint="eastAsia" w:ascii="宋体" w:hAnsi="宋体" w:eastAsia="宋体" w:cs="Arial"/>
                <w:b w:val="0"/>
                <w:bCs w:val="0"/>
                <w:kern w:val="0"/>
                <w:sz w:val="21"/>
                <w:szCs w:val="21"/>
              </w:rPr>
              <w:t>系统可以支持在医院管理部门通过大屏幕能够实时反映医院安全管理工作的工作量变动和数据反馈。</w:t>
            </w:r>
          </w:p>
        </w:tc>
        <w:tc>
          <w:tcPr>
            <w:tcW w:w="236" w:type="dxa"/>
            <w:gridSpan w:val="2"/>
            <w:tcBorders>
              <w:left w:val="single" w:color="auto" w:sz="4" w:space="0"/>
            </w:tcBorders>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trHeight w:val="858" w:hRule="atLeast"/>
        </w:trPr>
        <w:tc>
          <w:tcPr>
            <w:tcW w:w="1552" w:type="dxa"/>
            <w:vMerge w:val="restart"/>
            <w:tcBorders>
              <w:top w:val="single" w:color="auto" w:sz="4" w:space="0"/>
              <w:left w:val="single" w:color="auto" w:sz="4" w:space="0"/>
              <w:right w:val="single" w:color="auto" w:sz="4" w:space="0"/>
            </w:tcBorders>
            <w:noWrap w:val="0"/>
            <w:vAlign w:val="top"/>
          </w:tcPr>
          <w:p>
            <w:pPr>
              <w:widowControl/>
              <w:jc w:val="center"/>
              <w:rPr>
                <w:rFonts w:hint="eastAsia" w:ascii="Arial" w:hAnsi="Arial" w:eastAsia="宋体" w:cs="Arial"/>
                <w:b w:val="0"/>
                <w:bCs w:val="0"/>
                <w:kern w:val="0"/>
                <w:sz w:val="21"/>
                <w:szCs w:val="21"/>
                <w:lang w:val="en-US" w:eastAsia="zh-CN"/>
              </w:rPr>
            </w:pPr>
            <w:r>
              <w:rPr>
                <w:rFonts w:hint="eastAsia" w:ascii="Arial" w:hAnsi="Arial" w:eastAsia="宋体" w:cs="Arial"/>
                <w:b w:val="0"/>
                <w:bCs w:val="0"/>
                <w:kern w:val="0"/>
                <w:sz w:val="21"/>
                <w:szCs w:val="21"/>
                <w:lang w:val="en-US" w:eastAsia="zh-CN"/>
              </w:rPr>
              <w:t>13、专家咨询服务</w:t>
            </w:r>
          </w:p>
        </w:tc>
        <w:tc>
          <w:tcPr>
            <w:tcW w:w="226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宋体" w:cs="Arial"/>
                <w:b w:val="0"/>
                <w:bCs w:val="0"/>
                <w:kern w:val="0"/>
                <w:sz w:val="21"/>
                <w:szCs w:val="21"/>
                <w:lang w:val="en-US" w:eastAsia="zh-CN"/>
              </w:rPr>
            </w:pPr>
            <w:r>
              <w:rPr>
                <w:rFonts w:hint="eastAsia" w:ascii="宋体" w:hAnsi="宋体" w:eastAsia="宋体" w:cs="Arial"/>
                <w:b w:val="0"/>
                <w:bCs w:val="0"/>
                <w:kern w:val="0"/>
                <w:sz w:val="21"/>
                <w:szCs w:val="21"/>
                <w:lang w:val="en-US" w:eastAsia="zh-CN"/>
              </w:rPr>
              <w:t>上线咨询服务</w:t>
            </w:r>
          </w:p>
        </w:tc>
        <w:tc>
          <w:tcPr>
            <w:tcW w:w="5942"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ind w:left="0" w:leftChars="0" w:firstLine="0" w:firstLineChars="0"/>
              <w:rPr>
                <w:rFonts w:ascii="宋体" w:hAnsi="宋体" w:eastAsia="宋体"/>
              </w:rPr>
            </w:pPr>
            <w:r>
              <w:rPr>
                <w:rFonts w:ascii="宋体" w:hAnsi="宋体" w:eastAsia="宋体"/>
              </w:rPr>
              <w:t>1、单位安全管理现状的分析和调研</w:t>
            </w:r>
          </w:p>
          <w:p>
            <w:pPr>
              <w:spacing w:line="276" w:lineRule="auto"/>
              <w:ind w:left="0" w:leftChars="0" w:firstLine="0" w:firstLineChars="0"/>
              <w:rPr>
                <w:rFonts w:ascii="宋体" w:hAnsi="宋体" w:eastAsia="宋体"/>
              </w:rPr>
            </w:pPr>
            <w:r>
              <w:rPr>
                <w:rFonts w:ascii="宋体" w:hAnsi="宋体" w:eastAsia="宋体"/>
              </w:rPr>
              <w:t>2、医院配套的安全标准化与双重预防机制相关管理体系搭建（参照当地卫健委和安监部门的要求）</w:t>
            </w:r>
          </w:p>
          <w:p>
            <w:pPr>
              <w:spacing w:line="276" w:lineRule="auto"/>
              <w:ind w:left="0" w:leftChars="0" w:firstLine="0" w:firstLineChars="0"/>
              <w:rPr>
                <w:rFonts w:ascii="宋体" w:hAnsi="宋体" w:eastAsia="宋体"/>
              </w:rPr>
            </w:pPr>
            <w:r>
              <w:rPr>
                <w:rFonts w:ascii="宋体" w:hAnsi="宋体" w:eastAsia="宋体"/>
              </w:rPr>
              <w:t>3、安全系统导入组织架构、科室位置、人员配置</w:t>
            </w:r>
          </w:p>
          <w:p>
            <w:pPr>
              <w:spacing w:line="276" w:lineRule="auto"/>
              <w:ind w:left="0" w:leftChars="0" w:firstLine="0" w:firstLineChars="0"/>
              <w:rPr>
                <w:rFonts w:ascii="宋体" w:hAnsi="宋体" w:eastAsia="宋体"/>
              </w:rPr>
            </w:pPr>
            <w:r>
              <w:rPr>
                <w:rFonts w:ascii="宋体" w:hAnsi="宋体" w:eastAsia="宋体"/>
              </w:rPr>
              <w:t>4、全院安全责任网格配置</w:t>
            </w:r>
          </w:p>
          <w:p>
            <w:pPr>
              <w:spacing w:line="276" w:lineRule="auto"/>
              <w:ind w:left="0" w:leftChars="0" w:firstLine="0" w:firstLineChars="0"/>
              <w:rPr>
                <w:rFonts w:ascii="宋体" w:hAnsi="宋体" w:eastAsia="宋体"/>
              </w:rPr>
            </w:pPr>
            <w:r>
              <w:rPr>
                <w:rFonts w:ascii="宋体" w:hAnsi="宋体" w:eastAsia="宋体"/>
              </w:rPr>
              <w:t>5、医院实地检查及风险情况评估</w:t>
            </w:r>
          </w:p>
          <w:p>
            <w:pPr>
              <w:spacing w:line="276" w:lineRule="auto"/>
              <w:ind w:left="0" w:leftChars="0" w:firstLine="0" w:firstLineChars="0"/>
              <w:rPr>
                <w:rFonts w:ascii="宋体" w:hAnsi="宋体" w:eastAsia="宋体"/>
              </w:rPr>
            </w:pPr>
            <w:r>
              <w:rPr>
                <w:rFonts w:ascii="宋体" w:hAnsi="宋体" w:eastAsia="宋体"/>
              </w:rPr>
              <w:t>6、依据各科室定制的检查单+检查计划配置</w:t>
            </w:r>
          </w:p>
          <w:p>
            <w:pPr>
              <w:spacing w:line="276" w:lineRule="auto"/>
              <w:ind w:left="0" w:leftChars="0" w:firstLine="0" w:firstLineChars="0"/>
              <w:rPr>
                <w:rFonts w:ascii="宋体" w:hAnsi="宋体" w:eastAsia="宋体"/>
              </w:rPr>
            </w:pPr>
            <w:r>
              <w:rPr>
                <w:rFonts w:ascii="宋体" w:hAnsi="宋体" w:eastAsia="宋体"/>
              </w:rPr>
              <w:t>7、医院年度安全工作行事历策划配置</w:t>
            </w:r>
          </w:p>
          <w:p>
            <w:pPr>
              <w:spacing w:line="276" w:lineRule="auto"/>
              <w:ind w:left="0" w:leftChars="0" w:firstLine="0" w:firstLineChars="0"/>
              <w:rPr>
                <w:rFonts w:ascii="宋体" w:hAnsi="宋体" w:eastAsia="宋体"/>
              </w:rPr>
            </w:pPr>
            <w:r>
              <w:rPr>
                <w:rFonts w:ascii="宋体" w:hAnsi="宋体" w:eastAsia="宋体"/>
              </w:rPr>
              <w:t>8、医院年度三级安全培训（考试）初始内容配置</w:t>
            </w:r>
          </w:p>
          <w:p>
            <w:pPr>
              <w:spacing w:line="276" w:lineRule="auto"/>
              <w:ind w:left="0" w:leftChars="0" w:firstLine="0" w:firstLineChars="0"/>
              <w:rPr>
                <w:rFonts w:ascii="宋体" w:hAnsi="宋体" w:eastAsia="宋体"/>
              </w:rPr>
            </w:pPr>
            <w:r>
              <w:rPr>
                <w:rFonts w:ascii="宋体" w:hAnsi="宋体" w:eastAsia="宋体"/>
              </w:rPr>
              <w:t>9、安全管理台账模板、安全台账记录合规辅导</w:t>
            </w:r>
          </w:p>
          <w:p>
            <w:pPr>
              <w:spacing w:line="276" w:lineRule="auto"/>
              <w:ind w:left="0" w:leftChars="0" w:firstLine="0" w:firstLineChars="0"/>
              <w:rPr>
                <w:rFonts w:ascii="宋体" w:hAnsi="宋体" w:eastAsia="宋体"/>
              </w:rPr>
            </w:pPr>
            <w:r>
              <w:rPr>
                <w:rFonts w:ascii="宋体" w:hAnsi="宋体" w:eastAsia="宋体"/>
              </w:rPr>
              <w:t>10、配置相关的各项安全管理活动的预警、警报升级催办机制</w:t>
            </w:r>
          </w:p>
          <w:p>
            <w:pPr>
              <w:spacing w:line="276" w:lineRule="auto"/>
              <w:ind w:left="0" w:leftChars="0" w:firstLine="0" w:firstLineChars="0"/>
              <w:rPr>
                <w:rFonts w:ascii="宋体" w:hAnsi="宋体" w:eastAsia="宋体"/>
              </w:rPr>
            </w:pPr>
            <w:r>
              <w:rPr>
                <w:rFonts w:ascii="宋体" w:hAnsi="宋体" w:eastAsia="宋体"/>
              </w:rPr>
              <w:t>11、安全问题隐患的提报、判断、整改、验收闭环管理</w:t>
            </w:r>
          </w:p>
          <w:p>
            <w:pPr>
              <w:spacing w:line="276" w:lineRule="auto"/>
              <w:ind w:left="0" w:leftChars="0" w:firstLine="0" w:firstLineChars="0"/>
              <w:rPr>
                <w:rFonts w:ascii="宋体" w:hAnsi="宋体" w:eastAsia="宋体"/>
              </w:rPr>
            </w:pPr>
            <w:r>
              <w:rPr>
                <w:rFonts w:ascii="宋体" w:hAnsi="宋体" w:eastAsia="宋体"/>
              </w:rPr>
              <w:t>12、领导履职风险管理的配置</w:t>
            </w:r>
          </w:p>
          <w:p>
            <w:pPr>
              <w:spacing w:line="276" w:lineRule="auto"/>
              <w:ind w:left="0" w:leftChars="0" w:firstLine="0" w:firstLineChars="0"/>
              <w:rPr>
                <w:rFonts w:ascii="宋体" w:hAnsi="宋体" w:eastAsia="宋体"/>
              </w:rPr>
            </w:pPr>
            <w:r>
              <w:rPr>
                <w:rFonts w:ascii="宋体" w:hAnsi="宋体" w:eastAsia="宋体"/>
              </w:rPr>
              <w:t>13、系统上线前的物料准备工作</w:t>
            </w:r>
          </w:p>
          <w:p>
            <w:pPr>
              <w:widowControl/>
              <w:ind w:left="0" w:leftChars="0" w:firstLine="0" w:firstLineChars="0"/>
              <w:jc w:val="left"/>
              <w:rPr>
                <w:rFonts w:hint="eastAsia" w:ascii="宋体" w:hAnsi="宋体" w:eastAsia="宋体" w:cs="Arial"/>
                <w:b w:val="0"/>
                <w:bCs w:val="0"/>
                <w:kern w:val="0"/>
                <w:sz w:val="21"/>
                <w:szCs w:val="21"/>
              </w:rPr>
            </w:pPr>
            <w:r>
              <w:rPr>
                <w:rFonts w:ascii="宋体" w:hAnsi="宋体" w:eastAsia="宋体"/>
              </w:rPr>
              <w:t>14、</w:t>
            </w:r>
            <w:r>
              <w:rPr>
                <w:rFonts w:hint="eastAsia" w:ascii="宋体" w:hAnsi="宋体" w:eastAsia="宋体"/>
              </w:rPr>
              <w:t>系</w:t>
            </w:r>
            <w:r>
              <w:rPr>
                <w:rFonts w:ascii="宋体" w:hAnsi="宋体" w:eastAsia="宋体"/>
              </w:rPr>
              <w:t>统上线前的相关人员培训</w:t>
            </w:r>
          </w:p>
        </w:tc>
        <w:tc>
          <w:tcPr>
            <w:tcW w:w="236" w:type="dxa"/>
            <w:gridSpan w:val="2"/>
            <w:tcBorders>
              <w:left w:val="single" w:color="auto" w:sz="4" w:space="0"/>
            </w:tcBorders>
            <w:noWrap w:val="0"/>
            <w:vAlign w:val="center"/>
          </w:tcPr>
          <w:p>
            <w:pPr>
              <w:widowControl/>
              <w:jc w:val="left"/>
              <w:rPr>
                <w:rFonts w:ascii="Times New Roman" w:hAnsi="Times New Roman" w:eastAsia="Times New Roman"/>
                <w:b w:val="0"/>
                <w:bCs w:val="0"/>
                <w:kern w:val="0"/>
                <w:sz w:val="21"/>
                <w:szCs w:val="21"/>
              </w:rPr>
            </w:pPr>
          </w:p>
        </w:tc>
      </w:tr>
      <w:tr>
        <w:tblPrEx>
          <w:tblCellMar>
            <w:top w:w="0" w:type="dxa"/>
            <w:left w:w="108" w:type="dxa"/>
            <w:bottom w:w="0" w:type="dxa"/>
            <w:right w:w="108" w:type="dxa"/>
          </w:tblCellMar>
        </w:tblPrEx>
        <w:trPr>
          <w:gridAfter w:val="1"/>
          <w:wAfter w:w="2" w:type="dxa"/>
          <w:trHeight w:val="856" w:hRule="atLeast"/>
        </w:trPr>
        <w:tc>
          <w:tcPr>
            <w:tcW w:w="1552" w:type="dxa"/>
            <w:vMerge w:val="continue"/>
            <w:tcBorders>
              <w:left w:val="single" w:color="auto" w:sz="4" w:space="0"/>
              <w:bottom w:val="single" w:color="auto" w:sz="4" w:space="0"/>
              <w:right w:val="single" w:color="auto" w:sz="4" w:space="0"/>
            </w:tcBorders>
            <w:noWrap w:val="0"/>
            <w:vAlign w:val="top"/>
          </w:tcPr>
          <w:p>
            <w:pPr>
              <w:widowControl/>
              <w:jc w:val="center"/>
              <w:rPr>
                <w:rFonts w:hint="eastAsia" w:ascii="Arial" w:hAnsi="Arial" w:eastAsia="宋体" w:cs="Arial"/>
                <w:b w:val="0"/>
                <w:bCs w:val="0"/>
                <w:kern w:val="0"/>
                <w:sz w:val="21"/>
                <w:szCs w:val="21"/>
                <w:lang w:val="en-US" w:eastAsia="zh-CN"/>
              </w:rPr>
            </w:pPr>
          </w:p>
        </w:tc>
        <w:tc>
          <w:tcPr>
            <w:tcW w:w="226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宋体" w:cs="Arial"/>
                <w:b w:val="0"/>
                <w:bCs w:val="0"/>
                <w:kern w:val="0"/>
                <w:sz w:val="21"/>
                <w:szCs w:val="21"/>
                <w:lang w:eastAsia="zh-CN"/>
              </w:rPr>
            </w:pPr>
            <w:r>
              <w:rPr>
                <w:rFonts w:hint="eastAsia" w:ascii="宋体" w:hAnsi="宋体" w:eastAsia="宋体" w:cs="Arial"/>
                <w:b w:val="0"/>
                <w:bCs w:val="0"/>
                <w:kern w:val="0"/>
                <w:sz w:val="21"/>
                <w:szCs w:val="21"/>
                <w:lang w:eastAsia="zh-CN"/>
              </w:rPr>
              <w:t>年度咨询托管服务</w:t>
            </w:r>
          </w:p>
        </w:tc>
        <w:tc>
          <w:tcPr>
            <w:tcW w:w="5936"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left="0" w:leftChars="0" w:firstLine="0" w:firstLineChars="0"/>
              <w:rPr>
                <w:rFonts w:ascii="宋体" w:hAnsi="宋体" w:eastAsia="宋体"/>
              </w:rPr>
            </w:pPr>
            <w:r>
              <w:rPr>
                <w:rFonts w:ascii="宋体" w:hAnsi="宋体" w:eastAsia="宋体"/>
              </w:rPr>
              <w:t>1、7*12小时的在线咨询（基于微信/电话/邮件）</w:t>
            </w:r>
          </w:p>
          <w:p>
            <w:pPr>
              <w:spacing w:line="276" w:lineRule="auto"/>
              <w:ind w:left="0" w:leftChars="0" w:firstLine="0" w:firstLineChars="0"/>
              <w:rPr>
                <w:rFonts w:ascii="宋体" w:hAnsi="宋体" w:eastAsia="宋体"/>
              </w:rPr>
            </w:pPr>
            <w:r>
              <w:rPr>
                <w:rFonts w:ascii="宋体" w:hAnsi="宋体" w:eastAsia="宋体"/>
              </w:rPr>
              <w:t>2、季度医院安全工作定期回访、检查医院各项安全风控工作落实情况、提出反馈和整改意见，包括具体隐患的发现提报</w:t>
            </w:r>
          </w:p>
          <w:p>
            <w:pPr>
              <w:spacing w:line="276" w:lineRule="auto"/>
              <w:ind w:left="0" w:leftChars="0" w:right="-393" w:rightChars="-187" w:firstLine="0" w:firstLineChars="0"/>
              <w:rPr>
                <w:rFonts w:ascii="宋体" w:hAnsi="宋体" w:eastAsia="宋体"/>
              </w:rPr>
            </w:pPr>
            <w:r>
              <w:rPr>
                <w:rFonts w:ascii="宋体" w:hAnsi="宋体" w:eastAsia="宋体"/>
              </w:rPr>
              <w:t>3、针对系统反馈的问题和风险的提醒和指导</w:t>
            </w:r>
          </w:p>
          <w:p>
            <w:pPr>
              <w:spacing w:line="276" w:lineRule="auto"/>
              <w:ind w:left="0" w:leftChars="0" w:firstLine="0" w:firstLineChars="0"/>
              <w:rPr>
                <w:rFonts w:ascii="宋体" w:hAnsi="宋体" w:eastAsia="宋体"/>
              </w:rPr>
            </w:pPr>
            <w:r>
              <w:rPr>
                <w:rFonts w:ascii="宋体" w:hAnsi="宋体" w:eastAsia="宋体"/>
              </w:rPr>
              <w:t>4、每个季度更新发布专项的安全培训课程</w:t>
            </w:r>
          </w:p>
          <w:p>
            <w:pPr>
              <w:spacing w:line="276" w:lineRule="auto"/>
              <w:ind w:left="0" w:leftChars="0" w:firstLine="0" w:firstLineChars="0"/>
              <w:rPr>
                <w:rFonts w:ascii="宋体" w:hAnsi="宋体" w:eastAsia="宋体"/>
              </w:rPr>
            </w:pPr>
            <w:r>
              <w:rPr>
                <w:rFonts w:ascii="宋体" w:hAnsi="宋体" w:eastAsia="宋体"/>
              </w:rPr>
              <w:t>5、针对相关记录和台账合规性的辅导</w:t>
            </w:r>
          </w:p>
          <w:p>
            <w:pPr>
              <w:spacing w:line="276" w:lineRule="auto"/>
              <w:ind w:left="0" w:leftChars="0" w:firstLine="0" w:firstLineChars="0"/>
              <w:rPr>
                <w:rFonts w:ascii="宋体" w:hAnsi="宋体" w:eastAsia="宋体"/>
              </w:rPr>
            </w:pPr>
            <w:r>
              <w:rPr>
                <w:rFonts w:ascii="宋体" w:hAnsi="宋体" w:eastAsia="宋体"/>
              </w:rPr>
              <w:t>6、年度安全月相关活动的建议（特别策划专项服务需根据工作量另外报价）</w:t>
            </w:r>
          </w:p>
          <w:p>
            <w:pPr>
              <w:spacing w:line="276" w:lineRule="auto"/>
              <w:ind w:left="0" w:leftChars="0" w:firstLine="0" w:firstLineChars="0"/>
              <w:rPr>
                <w:rFonts w:ascii="宋体" w:hAnsi="宋体" w:eastAsia="宋体"/>
              </w:rPr>
            </w:pPr>
            <w:r>
              <w:rPr>
                <w:rFonts w:ascii="宋体" w:hAnsi="宋体" w:eastAsia="宋体"/>
              </w:rPr>
              <w:t>7、协助辅导应对安全管理工作方面的监管要求和质询</w:t>
            </w:r>
          </w:p>
          <w:p>
            <w:pPr>
              <w:spacing w:line="276" w:lineRule="auto"/>
              <w:ind w:left="0" w:leftChars="0" w:firstLine="0" w:firstLineChars="0"/>
              <w:rPr>
                <w:rFonts w:ascii="宋体" w:hAnsi="宋体" w:eastAsia="宋体"/>
              </w:rPr>
            </w:pPr>
            <w:r>
              <w:rPr>
                <w:rFonts w:ascii="宋体" w:hAnsi="宋体" w:eastAsia="宋体"/>
              </w:rPr>
              <w:t>8、培训辅导医院自己的安全管理人员提升安全风控工作技能和系统使用技能</w:t>
            </w:r>
          </w:p>
          <w:p>
            <w:pPr>
              <w:spacing w:line="276" w:lineRule="auto"/>
              <w:ind w:left="0" w:leftChars="0" w:firstLine="0" w:firstLineChars="0"/>
              <w:rPr>
                <w:rFonts w:hint="eastAsia" w:ascii="宋体" w:hAnsi="宋体" w:eastAsia="宋体" w:cs="Arial"/>
                <w:b w:val="0"/>
                <w:bCs w:val="0"/>
                <w:kern w:val="0"/>
                <w:sz w:val="21"/>
                <w:szCs w:val="21"/>
              </w:rPr>
            </w:pPr>
            <w:r>
              <w:rPr>
                <w:rFonts w:ascii="宋体" w:hAnsi="宋体" w:eastAsia="宋体"/>
              </w:rPr>
              <w:t>9、针对最新的监管要求和法规变化调整相关的系统和管理内容保障安全管理的合规性</w:t>
            </w:r>
          </w:p>
        </w:tc>
        <w:tc>
          <w:tcPr>
            <w:tcW w:w="240" w:type="dxa"/>
            <w:gridSpan w:val="2"/>
            <w:tcBorders>
              <w:left w:val="single" w:color="auto" w:sz="4" w:space="0"/>
            </w:tcBorders>
            <w:noWrap w:val="0"/>
            <w:vAlign w:val="center"/>
          </w:tcPr>
          <w:p>
            <w:pPr>
              <w:widowControl/>
              <w:jc w:val="left"/>
              <w:rPr>
                <w:rFonts w:ascii="Times New Roman" w:hAnsi="Times New Roman" w:eastAsia="Times New Roman"/>
                <w:b w:val="0"/>
                <w:bCs w:val="0"/>
                <w:kern w:val="0"/>
                <w:sz w:val="21"/>
                <w:szCs w:val="21"/>
              </w:rPr>
            </w:pPr>
          </w:p>
        </w:tc>
      </w:tr>
    </w:tbl>
    <w:p/>
    <w:p>
      <w:pPr>
        <w:rPr>
          <w:rFonts w:hint="eastAsia"/>
          <w:b/>
          <w:bCs/>
          <w:sz w:val="36"/>
          <w:szCs w:val="36"/>
          <w:lang w:val="en-US" w:eastAsia="zh-CN"/>
        </w:rPr>
      </w:pPr>
    </w:p>
    <w:p>
      <w:pPr>
        <w:pStyle w:val="3"/>
        <w:rPr>
          <w:rFonts w:hint="eastAsia"/>
          <w:b/>
          <w:bCs/>
          <w:sz w:val="36"/>
          <w:szCs w:val="36"/>
          <w:lang w:val="en-US" w:eastAsia="zh-CN"/>
        </w:rPr>
      </w:pPr>
    </w:p>
    <w:p>
      <w:pPr>
        <w:rPr>
          <w:rFonts w:hint="eastAsia"/>
          <w:b/>
          <w:bCs/>
          <w:sz w:val="36"/>
          <w:szCs w:val="36"/>
          <w:lang w:val="en-US" w:eastAsia="zh-CN"/>
        </w:rPr>
      </w:pPr>
    </w:p>
    <w:p>
      <w:pPr>
        <w:pStyle w:val="3"/>
        <w:rPr>
          <w:rFonts w:hint="eastAsia"/>
          <w:b/>
          <w:bCs/>
          <w:sz w:val="36"/>
          <w:szCs w:val="36"/>
          <w:lang w:val="en-US" w:eastAsia="zh-CN"/>
        </w:rPr>
      </w:pPr>
    </w:p>
    <w:p>
      <w:pPr>
        <w:jc w:val="both"/>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3"/>
        <w:tabs>
          <w:tab w:val="left" w:pos="1260"/>
        </w:tabs>
        <w:spacing w:line="360" w:lineRule="auto"/>
        <w:jc w:val="center"/>
        <w:rPr>
          <w:rFonts w:ascii="Times New Roman" w:hAnsi="Times New Roman"/>
          <w:b/>
          <w:bCs/>
          <w:spacing w:val="100"/>
          <w:w w:val="110"/>
          <w:sz w:val="36"/>
          <w:szCs w:val="36"/>
        </w:rPr>
      </w:pPr>
    </w:p>
    <w:p>
      <w:pPr>
        <w:pStyle w:val="13"/>
        <w:tabs>
          <w:tab w:val="left" w:pos="1260"/>
        </w:tabs>
        <w:spacing w:line="360" w:lineRule="auto"/>
        <w:jc w:val="center"/>
        <w:rPr>
          <w:rFonts w:ascii="Times New Roman" w:hAnsi="Times New Roman"/>
          <w:bCs/>
          <w:spacing w:val="100"/>
          <w:w w:val="110"/>
          <w:sz w:val="36"/>
          <w:szCs w:val="36"/>
        </w:rPr>
      </w:pPr>
    </w:p>
    <w:p>
      <w:pPr>
        <w:pStyle w:val="13"/>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3"/>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3"/>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3"/>
        <w:spacing w:line="360" w:lineRule="auto"/>
        <w:jc w:val="center"/>
        <w:rPr>
          <w:rFonts w:ascii="Times New Roman" w:hAnsi="Times New Roman"/>
          <w:sz w:val="44"/>
        </w:rPr>
      </w:pPr>
    </w:p>
    <w:p>
      <w:pPr>
        <w:pStyle w:val="13"/>
        <w:spacing w:line="360" w:lineRule="auto"/>
        <w:jc w:val="center"/>
        <w:rPr>
          <w:rFonts w:ascii="Times New Roman" w:hAnsi="Times New Roman"/>
          <w:sz w:val="44"/>
        </w:rPr>
      </w:pPr>
    </w:p>
    <w:p>
      <w:pPr>
        <w:pStyle w:val="13"/>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3"/>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3"/>
        <w:spacing w:line="360" w:lineRule="auto"/>
        <w:ind w:firstLine="1320" w:firstLineChars="300"/>
        <w:rPr>
          <w:rFonts w:ascii="Times New Roman" w:hAnsi="Times New Roman"/>
          <w:sz w:val="44"/>
        </w:rPr>
      </w:pPr>
    </w:p>
    <w:p>
      <w:pPr>
        <w:pStyle w:val="13"/>
        <w:spacing w:line="360" w:lineRule="auto"/>
        <w:ind w:firstLine="1320" w:firstLineChars="300"/>
        <w:rPr>
          <w:rFonts w:ascii="Times New Roman" w:hAnsi="Times New Roman"/>
          <w:sz w:val="44"/>
        </w:rPr>
      </w:pPr>
    </w:p>
    <w:p>
      <w:pPr>
        <w:pStyle w:val="13"/>
        <w:spacing w:line="360" w:lineRule="auto"/>
        <w:rPr>
          <w:rFonts w:ascii="Times New Roman" w:hAnsi="Times New Roman"/>
          <w:sz w:val="44"/>
        </w:rPr>
      </w:pPr>
    </w:p>
    <w:p>
      <w:pPr>
        <w:pStyle w:val="13"/>
        <w:spacing w:line="360" w:lineRule="auto"/>
        <w:ind w:firstLine="1320" w:firstLineChars="300"/>
        <w:rPr>
          <w:rFonts w:ascii="Times New Roman" w:hAnsi="Times New Roman"/>
          <w:sz w:val="44"/>
        </w:rPr>
      </w:pPr>
    </w:p>
    <w:p>
      <w:pPr>
        <w:pStyle w:val="13"/>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3"/>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3"/>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5"/>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黄石市妇幼保健院</w:t>
      </w:r>
      <w:r>
        <w:rPr>
          <w:rFonts w:hint="eastAsia" w:ascii="宋体" w:hAnsi="宋体" w:cs="宋体"/>
          <w:sz w:val="24"/>
          <w:u w:val="single"/>
        </w:rPr>
        <w:t xml:space="preserve"> </w:t>
      </w:r>
      <w:r>
        <w:rPr>
          <w:rFonts w:hint="eastAsia" w:ascii="宋体" w:hAnsi="宋体" w:cs="宋体"/>
          <w:sz w:val="24"/>
        </w:rPr>
        <w:t>：</w:t>
      </w:r>
    </w:p>
    <w:p>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附件2                </w:t>
      </w:r>
    </w:p>
    <w:p>
      <w:pPr>
        <w:numPr>
          <w:ilvl w:val="0"/>
          <w:numId w:val="0"/>
        </w:numPr>
        <w:ind w:firstLine="3080" w:firstLineChars="1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投标报价一览表（首轮）</w:t>
      </w:r>
    </w:p>
    <w:p>
      <w:pPr>
        <w:pStyle w:val="3"/>
        <w:outlineLvl w:val="9"/>
        <w:rPr>
          <w:rFonts w:hint="eastAsia" w:ascii="宋体" w:hAnsi="宋体" w:eastAsia="宋体" w:cs="宋体"/>
          <w:color w:val="auto"/>
          <w:sz w:val="24"/>
          <w:szCs w:val="24"/>
          <w:highlight w:val="none"/>
          <w:u w:val="none"/>
        </w:rPr>
      </w:pPr>
    </w:p>
    <w:p>
      <w:pPr>
        <w:pStyle w:val="3"/>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项目名称：</w:t>
      </w:r>
    </w:p>
    <w:tbl>
      <w:tblPr>
        <w:tblStyle w:val="8"/>
        <w:tblW w:w="548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3006"/>
        <w:gridCol w:w="62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75" w:hRule="atLeast"/>
          <w:jc w:val="center"/>
        </w:trPr>
        <w:tc>
          <w:tcPr>
            <w:tcW w:w="1627" w:type="pct"/>
            <w:tcBorders>
              <w:top w:val="single" w:color="auto" w:sz="12"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项目名称</w:t>
            </w:r>
          </w:p>
        </w:tc>
        <w:tc>
          <w:tcPr>
            <w:tcW w:w="3372" w:type="pct"/>
            <w:tcBorders>
              <w:top w:val="single" w:color="auto" w:sz="12" w:space="0"/>
              <w:left w:val="single" w:color="auto" w:sz="4" w:space="0"/>
              <w:bottom w:val="single" w:color="auto" w:sz="4" w:space="0"/>
              <w:right w:val="single" w:color="auto" w:sz="12" w:space="0"/>
              <w:tl2br w:val="nil"/>
              <w:tr2bl w:val="nil"/>
            </w:tcBorders>
            <w:noWrap w:val="0"/>
            <w:vAlign w:val="center"/>
          </w:tcPr>
          <w:p>
            <w:pPr>
              <w:spacing w:beforeLines="0" w:afterLines="0"/>
              <w:jc w:val="both"/>
              <w:rPr>
                <w:rFonts w:hint="eastAsia" w:ascii="宋体" w:hAnsi="宋体" w:eastAsia="宋体" w:cs="宋体"/>
                <w:b w:val="0"/>
                <w:bCs/>
                <w:sz w:val="24"/>
                <w:szCs w:val="24"/>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56" w:hRule="atLeast"/>
          <w:jc w:val="center"/>
        </w:trPr>
        <w:tc>
          <w:tcPr>
            <w:tcW w:w="1627"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投标报价</w:t>
            </w:r>
          </w:p>
        </w:tc>
        <w:tc>
          <w:tcPr>
            <w:tcW w:w="3372"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both"/>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710" w:hRule="atLeast"/>
          <w:jc w:val="center"/>
        </w:trPr>
        <w:tc>
          <w:tcPr>
            <w:tcW w:w="1627"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优惠条件</w:t>
            </w:r>
          </w:p>
        </w:tc>
        <w:tc>
          <w:tcPr>
            <w:tcW w:w="3372"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default" w:ascii="宋体" w:hAnsi="宋体" w:eastAsia="宋体" w:cs="宋体"/>
                <w:b w:val="0"/>
                <w:bCs/>
                <w:sz w:val="24"/>
                <w:szCs w:val="24"/>
                <w:highlight w:val="none"/>
                <w:u w:val="singl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10" w:hRule="atLeast"/>
          <w:jc w:val="center"/>
        </w:trPr>
        <w:tc>
          <w:tcPr>
            <w:tcW w:w="1627"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b w:val="0"/>
                <w:bCs/>
                <w:kern w:val="0"/>
                <w:sz w:val="28"/>
                <w:szCs w:val="28"/>
                <w:lang w:val="en-US" w:eastAsia="zh-CN" w:bidi="ar-SA"/>
              </w:rPr>
            </w:pPr>
            <w:r>
              <w:rPr>
                <w:rFonts w:hint="eastAsia" w:ascii="仿宋" w:hAnsi="仿宋" w:eastAsia="仿宋" w:cs="仿宋"/>
                <w:b w:val="0"/>
                <w:bCs/>
                <w:kern w:val="0"/>
                <w:sz w:val="28"/>
                <w:szCs w:val="28"/>
                <w:lang w:val="en-US" w:eastAsia="zh-CN" w:bidi="ar-SA"/>
              </w:rPr>
              <w:t>备注</w:t>
            </w:r>
          </w:p>
        </w:tc>
        <w:tc>
          <w:tcPr>
            <w:tcW w:w="3372"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default" w:ascii="宋体" w:hAnsi="宋体" w:eastAsia="宋体" w:cs="宋体"/>
                <w:b w:val="0"/>
                <w:bCs/>
                <w:sz w:val="24"/>
                <w:szCs w:val="24"/>
                <w:highlight w:val="none"/>
                <w:u w:val="single"/>
                <w:lang w:val="en-US" w:eastAsia="zh-CN"/>
              </w:rPr>
            </w:pPr>
          </w:p>
        </w:tc>
      </w:tr>
    </w:tbl>
    <w:p>
      <w:pPr>
        <w:adjustRightInd w:val="0"/>
        <w:snapToGrid w:val="0"/>
        <w:outlineLvl w:val="9"/>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u w:val="none"/>
        </w:rPr>
        <w:t>说明</w:t>
      </w:r>
      <w:r>
        <w:rPr>
          <w:rFonts w:hint="eastAsia" w:ascii="宋体" w:hAnsi="宋体" w:eastAsia="宋体" w:cs="宋体"/>
          <w:bCs/>
          <w:color w:val="auto"/>
          <w:sz w:val="24"/>
          <w:szCs w:val="24"/>
          <w:highlight w:val="none"/>
          <w:u w:val="none"/>
        </w:rPr>
        <w:t>：</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（1）人民币报价。</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（2）价格应按照“供应商须知” 的要求报价。</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w:t>
      </w:r>
      <w:r>
        <w:rPr>
          <w:rFonts w:hint="eastAsia" w:ascii="宋体" w:hAnsi="宋体" w:eastAsia="宋体" w:cs="宋体"/>
          <w:color w:val="auto"/>
          <w:sz w:val="24"/>
          <w:szCs w:val="24"/>
          <w:highlight w:val="none"/>
          <w:u w:val="none"/>
          <w:lang w:val="en-US" w:eastAsia="zh-CN"/>
        </w:rPr>
        <w:t xml:space="preserve">注：此报价表为磋商小组了解其报价组成情况，仅作参考。表格形式不足描述，可另行行文编制。 </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highlight w:val="none"/>
        </w:rPr>
      </w:pPr>
    </w:p>
    <w:p>
      <w:pPr>
        <w:adjustRightInd w:val="0"/>
        <w:snapToGrid w:val="0"/>
        <w:spacing w:line="360" w:lineRule="auto"/>
        <w:ind w:left="-88" w:leftChars="-42"/>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磋商供应商法定代表人或授权代表签字：</w:t>
      </w:r>
    </w:p>
    <w:p>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磋商供应商名称（签章）：</w:t>
      </w: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时  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p>
    <w:p/>
    <w:p>
      <w:pPr>
        <w:jc w:val="center"/>
        <w:rPr>
          <w:rFonts w:hint="eastAsia"/>
          <w:bCs/>
          <w:sz w:val="32"/>
          <w:szCs w:val="32"/>
          <w:lang w:eastAsia="zh-CN"/>
        </w:rPr>
      </w:pPr>
    </w:p>
    <w:p>
      <w:pPr>
        <w:jc w:val="center"/>
        <w:rPr>
          <w:rFonts w:hint="eastAsia"/>
          <w:bCs/>
          <w:sz w:val="32"/>
          <w:szCs w:val="32"/>
          <w:lang w:eastAsia="zh-CN"/>
        </w:rPr>
      </w:pPr>
    </w:p>
    <w:p>
      <w:pPr>
        <w:pStyle w:val="3"/>
        <w:rPr>
          <w:rFonts w:hint="eastAsia"/>
          <w:bCs/>
          <w:sz w:val="32"/>
          <w:szCs w:val="32"/>
          <w:lang w:eastAsia="zh-CN"/>
        </w:rPr>
      </w:pPr>
    </w:p>
    <w:p>
      <w:pPr>
        <w:rPr>
          <w:rFonts w:hint="eastAsia"/>
          <w:lang w:eastAsia="zh-CN"/>
        </w:rPr>
      </w:pPr>
    </w:p>
    <w:p>
      <w:pPr>
        <w:jc w:val="both"/>
        <w:rPr>
          <w:rFonts w:hint="eastAsia"/>
          <w:bCs/>
          <w:sz w:val="32"/>
          <w:szCs w:val="32"/>
          <w:lang w:eastAsia="zh-CN"/>
        </w:rPr>
      </w:pPr>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1A4BB671"/>
    <w:multiLevelType w:val="singleLevel"/>
    <w:tmpl w:val="1A4BB671"/>
    <w:lvl w:ilvl="0" w:tentative="0">
      <w:start w:val="3"/>
      <w:numFmt w:val="chineseCounting"/>
      <w:suff w:val="space"/>
      <w:lvlText w:val="第%1部分"/>
      <w:lvlJc w:val="left"/>
      <w:pPr>
        <w:ind w:left="3103" w:leftChars="0" w:firstLine="0" w:firstLineChars="0"/>
      </w:pPr>
      <w:rPr>
        <w:rFonts w:hint="eastAsia"/>
      </w:rPr>
    </w:lvl>
  </w:abstractNum>
  <w:abstractNum w:abstractNumId="2">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64F946BC"/>
    <w:multiLevelType w:val="singleLevel"/>
    <w:tmpl w:val="64F946BC"/>
    <w:lvl w:ilvl="0" w:tentative="0">
      <w:start w:val="2"/>
      <w:numFmt w:val="decimal"/>
      <w:suff w:val="nothing"/>
      <w:lvlText w:val="%1、"/>
      <w:lvlJc w:val="left"/>
    </w:lvl>
  </w:abstractNum>
  <w:abstractNum w:abstractNumId="4">
    <w:nsid w:val="64F94722"/>
    <w:multiLevelType w:val="singleLevel"/>
    <w:tmpl w:val="64F94722"/>
    <w:lvl w:ilvl="0" w:tentative="0">
      <w:start w:val="7"/>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TQ4NTQxZWU3N2U1NGYyYTVjY2RjMzc0ZWU3ZDIifQ=="/>
  </w:docVars>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5C117A8"/>
    <w:rsid w:val="061328CE"/>
    <w:rsid w:val="06225CED"/>
    <w:rsid w:val="06393422"/>
    <w:rsid w:val="06C80740"/>
    <w:rsid w:val="06D83420"/>
    <w:rsid w:val="06E71AF8"/>
    <w:rsid w:val="071214EC"/>
    <w:rsid w:val="07261BE1"/>
    <w:rsid w:val="072C33FF"/>
    <w:rsid w:val="0733472D"/>
    <w:rsid w:val="07E504AA"/>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E41A1A"/>
    <w:rsid w:val="12F9103D"/>
    <w:rsid w:val="132822EB"/>
    <w:rsid w:val="13317FBC"/>
    <w:rsid w:val="13610D00"/>
    <w:rsid w:val="137B7FDB"/>
    <w:rsid w:val="13A011DB"/>
    <w:rsid w:val="143F304F"/>
    <w:rsid w:val="14667F2B"/>
    <w:rsid w:val="1472346F"/>
    <w:rsid w:val="14984131"/>
    <w:rsid w:val="150A739D"/>
    <w:rsid w:val="15372F74"/>
    <w:rsid w:val="15426B14"/>
    <w:rsid w:val="158A5DF5"/>
    <w:rsid w:val="15A149AB"/>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980A21"/>
    <w:rsid w:val="1BC97E32"/>
    <w:rsid w:val="1BCC1C4B"/>
    <w:rsid w:val="1BD61F1B"/>
    <w:rsid w:val="1C4A5B7C"/>
    <w:rsid w:val="1C5018F4"/>
    <w:rsid w:val="1C576ECE"/>
    <w:rsid w:val="1CD202A1"/>
    <w:rsid w:val="1D073943"/>
    <w:rsid w:val="1D3941F0"/>
    <w:rsid w:val="1D6A69EA"/>
    <w:rsid w:val="1D953CD3"/>
    <w:rsid w:val="1DB364CE"/>
    <w:rsid w:val="1E246493"/>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45646F"/>
    <w:rsid w:val="23562C9B"/>
    <w:rsid w:val="2362199F"/>
    <w:rsid w:val="23896F35"/>
    <w:rsid w:val="23A443FD"/>
    <w:rsid w:val="23E7629F"/>
    <w:rsid w:val="2409157C"/>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152ED8"/>
    <w:rsid w:val="32217E46"/>
    <w:rsid w:val="32244AB7"/>
    <w:rsid w:val="323509D0"/>
    <w:rsid w:val="327D6FDA"/>
    <w:rsid w:val="329074CD"/>
    <w:rsid w:val="32AE5F33"/>
    <w:rsid w:val="32DE2387"/>
    <w:rsid w:val="33053FF6"/>
    <w:rsid w:val="332210CE"/>
    <w:rsid w:val="338E430A"/>
    <w:rsid w:val="33E9545D"/>
    <w:rsid w:val="340924F7"/>
    <w:rsid w:val="34161696"/>
    <w:rsid w:val="34677D8F"/>
    <w:rsid w:val="347D71CA"/>
    <w:rsid w:val="34A6088D"/>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1843F2"/>
    <w:rsid w:val="3F7A4E40"/>
    <w:rsid w:val="3FBC76BA"/>
    <w:rsid w:val="3FD5302F"/>
    <w:rsid w:val="3FDA683B"/>
    <w:rsid w:val="40427D97"/>
    <w:rsid w:val="404C0B5B"/>
    <w:rsid w:val="406C1311"/>
    <w:rsid w:val="40BE7D97"/>
    <w:rsid w:val="41414249"/>
    <w:rsid w:val="41E407BC"/>
    <w:rsid w:val="42273266"/>
    <w:rsid w:val="427824D8"/>
    <w:rsid w:val="42824A53"/>
    <w:rsid w:val="42916471"/>
    <w:rsid w:val="42BD4EFA"/>
    <w:rsid w:val="430C63DC"/>
    <w:rsid w:val="43720BDE"/>
    <w:rsid w:val="43877F11"/>
    <w:rsid w:val="43CC22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ECC5FE1"/>
    <w:rsid w:val="4FA87253"/>
    <w:rsid w:val="4FBD0CF6"/>
    <w:rsid w:val="4FD62737"/>
    <w:rsid w:val="4FEA05EE"/>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7162743"/>
    <w:rsid w:val="57245E8C"/>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7F5611"/>
    <w:rsid w:val="5BE865BC"/>
    <w:rsid w:val="5C384B96"/>
    <w:rsid w:val="5C8529F7"/>
    <w:rsid w:val="5D1F6554"/>
    <w:rsid w:val="5D2A5F5C"/>
    <w:rsid w:val="5D516A48"/>
    <w:rsid w:val="5D8201C4"/>
    <w:rsid w:val="5DFE1FFE"/>
    <w:rsid w:val="5EA36CE4"/>
    <w:rsid w:val="5F0677D9"/>
    <w:rsid w:val="5F104785"/>
    <w:rsid w:val="5F305772"/>
    <w:rsid w:val="5F6665A4"/>
    <w:rsid w:val="5FA00A7A"/>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37061"/>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04D62"/>
    <w:rsid w:val="6CA116CB"/>
    <w:rsid w:val="6CA30A4A"/>
    <w:rsid w:val="6D336A88"/>
    <w:rsid w:val="6E213D44"/>
    <w:rsid w:val="6E31117A"/>
    <w:rsid w:val="6E577F1F"/>
    <w:rsid w:val="6E98169E"/>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32E1924"/>
    <w:rsid w:val="742E1941"/>
    <w:rsid w:val="74C52936"/>
    <w:rsid w:val="74D7722D"/>
    <w:rsid w:val="74E81D63"/>
    <w:rsid w:val="74FD0824"/>
    <w:rsid w:val="74FD4274"/>
    <w:rsid w:val="758E1AE8"/>
    <w:rsid w:val="758E3C49"/>
    <w:rsid w:val="758E69F2"/>
    <w:rsid w:val="76031C2C"/>
    <w:rsid w:val="761F3360"/>
    <w:rsid w:val="7622208B"/>
    <w:rsid w:val="765503BE"/>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2C4C94"/>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tabs>
        <w:tab w:val="center" w:pos="4153"/>
        <w:tab w:val="right" w:pos="8306"/>
      </w:tabs>
      <w:snapToGrid w:val="0"/>
      <w:jc w:val="center"/>
    </w:pPr>
    <w:rPr>
      <w:kern w:val="0"/>
      <w:sz w:val="18"/>
      <w:szCs w:val="21"/>
    </w:rPr>
  </w:style>
  <w:style w:type="paragraph" w:styleId="6">
    <w:name w:val="toc 2"/>
    <w:basedOn w:val="1"/>
    <w:next w:val="1"/>
    <w:qFormat/>
    <w:uiPriority w:val="0"/>
    <w:pPr>
      <w:jc w:val="left"/>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apple-converted-space"/>
    <w:basedOn w:val="10"/>
    <w:qFormat/>
    <w:uiPriority w:val="0"/>
  </w:style>
  <w:style w:type="paragraph" w:customStyle="1" w:styleId="12">
    <w:name w:val="Table Paragraph"/>
    <w:basedOn w:val="1"/>
    <w:qFormat/>
    <w:uiPriority w:val="99"/>
    <w:rPr>
      <w:rFonts w:ascii="Calibri" w:hAnsi="Calibri" w:eastAsia="宋体" w:cs="Times New Roman"/>
      <w:szCs w:val="21"/>
    </w:rPr>
  </w:style>
  <w:style w:type="paragraph" w:customStyle="1" w:styleId="13">
    <w:name w:val="纯文本1"/>
    <w:basedOn w:val="1"/>
    <w:qFormat/>
    <w:uiPriority w:val="0"/>
    <w:rPr>
      <w:rFonts w:ascii="宋体" w:hAnsi="Courier New" w:eastAsia="宋体" w:cs="Times New Roman"/>
      <w:szCs w:val="21"/>
    </w:rPr>
  </w:style>
  <w:style w:type="paragraph" w:customStyle="1" w:styleId="14">
    <w:name w:val="表格图文"/>
    <w:basedOn w:val="1"/>
    <w:qFormat/>
    <w:uiPriority w:val="0"/>
    <w:pPr>
      <w:spacing w:line="240" w:lineRule="auto"/>
      <w:ind w:firstLine="0" w:firstLineChars="0"/>
    </w:pPr>
    <w:rPr>
      <w:rFonts w:ascii="宋体" w:hAnsi="宋体"/>
    </w:rPr>
  </w:style>
  <w:style w:type="paragraph" w:customStyle="1" w:styleId="15">
    <w:name w:val="p0"/>
    <w:basedOn w:val="1"/>
    <w:qFormat/>
    <w:uiPriority w:val="0"/>
    <w:pPr>
      <w:spacing w:before="100" w:beforeAutospacing="1"/>
    </w:pPr>
    <w:rPr>
      <w:rFonts w:ascii="Times New Roman" w:hAnsi="Times New Roman" w:eastAsia="宋体" w:cs="Times New Roman"/>
      <w:szCs w:val="21"/>
    </w:rPr>
  </w:style>
  <w:style w:type="paragraph" w:customStyle="1" w:styleId="16">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5863</Words>
  <Characters>6198</Characters>
  <Lines>0</Lines>
  <Paragraphs>0</Paragraphs>
  <TotalTime>2</TotalTime>
  <ScaleCrop>false</ScaleCrop>
  <LinksUpToDate>false</LinksUpToDate>
  <CharactersWithSpaces>7095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cp:lastPrinted>2023-03-14T01:06:00Z</cp:lastPrinted>
  <dcterms:modified xsi:type="dcterms:W3CDTF">2023-09-12T01:05:40Z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5624C7E5B4D04561B3944CD171F9B77D</vt:lpwstr>
  </property>
</Properties>
</file>