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960" w:firstLineChars="300"/>
        <w:rPr>
          <w:rFonts w:hint="eastAsia"/>
          <w:bCs/>
          <w:sz w:val="32"/>
          <w:szCs w:val="32"/>
          <w:lang w:eastAsia="zh-CN"/>
        </w:rPr>
      </w:pPr>
      <w:r>
        <w:rPr>
          <w:bCs/>
          <w:sz w:val="32"/>
          <w:szCs w:val="32"/>
        </w:rPr>
        <w:t>项目名称：</w:t>
      </w:r>
      <w:r>
        <w:rPr>
          <w:rFonts w:hint="eastAsia"/>
          <w:bCs/>
          <w:sz w:val="32"/>
          <w:szCs w:val="32"/>
          <w:lang w:eastAsia="zh-CN"/>
        </w:rPr>
        <w:t>检验科空调加装项目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二三年六月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黄石市妇幼保健院就检验科空调加装项目采用竞争性谈判的方式招标采购，欢迎有符合条件的供应商前来投标。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4"/>
          <w:szCs w:val="24"/>
          <w:lang w:val="en-US" w:eastAsia="zh-CN"/>
        </w:rPr>
      </w:pPr>
      <w:r>
        <w:rPr>
          <w:rFonts w:hint="eastAsia" w:ascii="宋体" w:hAnsi="宋体" w:eastAsia="宋体" w:cs="宋体"/>
          <w:sz w:val="28"/>
          <w:szCs w:val="28"/>
          <w:lang w:val="en-US" w:eastAsia="zh-CN"/>
        </w:rPr>
        <w:t>1.项目名称：黄石市妇幼保健院检验科空调加装项目</w:t>
      </w:r>
      <w:r>
        <w:rPr>
          <w:rFonts w:hint="eastAsia" w:ascii="宋体" w:hAnsi="宋体" w:eastAsia="宋体" w:cs="宋体"/>
          <w:sz w:val="24"/>
          <w:szCs w:val="24"/>
          <w:lang w:val="en-US" w:eastAsia="zh-CN"/>
        </w:rPr>
        <w:t>；</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2.预算金额：5.4万元（报价超过预算金额视为无效投标）；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1、投标单位应具备独立法人资格，营业范围包含机电安装、中央空调安装和售后维修内容；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3、无重大违法声明记录；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4、供应商需具备行政主管部门颁发的建筑机电安装总承包或专业承包三级（含三级）以上资质；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四、报名时间：2023年  月  日-2023年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五、标书递交截止时间及开标时间：2023年  月   日下午15：30；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六、招标地点：黄石市妇幼保健院行政楼202会议室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2023年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2"/>
        <w:widowControl w:val="0"/>
        <w:numPr>
          <w:ilvl w:val="0"/>
          <w:numId w:val="0"/>
        </w:numPr>
        <w:spacing w:after="120"/>
        <w:jc w:val="both"/>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2"/>
        </w:numPr>
        <w:ind w:left="3103"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招标需求</w:t>
      </w:r>
    </w:p>
    <w:p>
      <w:pPr>
        <w:pStyle w:val="2"/>
        <w:numPr>
          <w:ilvl w:val="0"/>
          <w:numId w:val="0"/>
        </w:numPr>
        <w:rPr>
          <w:rFonts w:hint="default"/>
          <w:lang w:val="en-US" w:eastAsia="zh-CN"/>
        </w:rPr>
      </w:pPr>
    </w:p>
    <w:p>
      <w:pPr>
        <w:rPr>
          <w:rFonts w:hint="eastAsia"/>
          <w:b w:val="0"/>
          <w:bCs w:val="0"/>
          <w:sz w:val="28"/>
          <w:szCs w:val="28"/>
          <w:lang w:val="en-US" w:eastAsia="zh-CN"/>
        </w:rPr>
      </w:pPr>
      <w:r>
        <w:rPr>
          <w:rFonts w:hint="eastAsia"/>
          <w:b w:val="0"/>
          <w:bCs w:val="0"/>
          <w:sz w:val="28"/>
          <w:szCs w:val="28"/>
          <w:lang w:val="en-US" w:eastAsia="zh-CN"/>
        </w:rPr>
        <w:t>根据测算，实验室面积28平方，分析室面积14.5平方，无菌室面积7.5平方。</w:t>
      </w:r>
    </w:p>
    <w:p>
      <w:pPr>
        <w:pStyle w:val="2"/>
        <w:rPr>
          <w:rFonts w:hint="default"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实验室制冷量7100W,单位制冷量253W/平米；</w:t>
      </w:r>
    </w:p>
    <w:p>
      <w:pPr>
        <w:pStyle w:val="2"/>
        <w:rPr>
          <w:rFonts w:hint="default"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分析室制冷量4100W,单位制冷量275W/平米；</w:t>
      </w:r>
    </w:p>
    <w:p>
      <w:pPr>
        <w:pStyle w:val="2"/>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无菌室制冷量3200W,单位制冷量420W/平米；</w:t>
      </w:r>
    </w:p>
    <w:p>
      <w:pPr>
        <w:rPr>
          <w:rFonts w:hint="default"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室外机，制冷量14000W，制冷功率4KW，电压220V；</w:t>
      </w:r>
    </w:p>
    <w:p>
      <w:pPr>
        <w:pStyle w:val="2"/>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铜管、售后要求：质保一年以上并提供售后服务承诺。</w:t>
      </w: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jc w:val="both"/>
        <w:rPr>
          <w:rFonts w:hint="eastAsia"/>
          <w:b/>
          <w:bCs/>
          <w:sz w:val="36"/>
          <w:szCs w:val="36"/>
          <w:lang w:val="en-US" w:eastAsia="zh-CN"/>
        </w:rPr>
      </w:pPr>
      <w:bookmarkStart w:id="0" w:name="_GoBack"/>
      <w:bookmarkEnd w:id="0"/>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附件2                </w:t>
      </w:r>
    </w:p>
    <w:p>
      <w:pPr>
        <w:numPr>
          <w:ilvl w:val="0"/>
          <w:numId w:val="0"/>
        </w:num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投标报价一览表（首轮）</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54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3006"/>
        <w:gridCol w:w="6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5" w:hRule="atLeast"/>
          <w:jc w:val="center"/>
        </w:trPr>
        <w:tc>
          <w:tcPr>
            <w:tcW w:w="1627"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项目名称</w:t>
            </w:r>
          </w:p>
        </w:tc>
        <w:tc>
          <w:tcPr>
            <w:tcW w:w="3372"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b w:val="0"/>
                <w:bCs/>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627"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投标报价</w:t>
            </w:r>
          </w:p>
        </w:tc>
        <w:tc>
          <w:tcPr>
            <w:tcW w:w="3372"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10" w:hRule="atLeast"/>
          <w:jc w:val="center"/>
        </w:trPr>
        <w:tc>
          <w:tcPr>
            <w:tcW w:w="1627"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优惠条件</w:t>
            </w:r>
          </w:p>
        </w:tc>
        <w:tc>
          <w:tcPr>
            <w:tcW w:w="3372"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b w:val="0"/>
                <w:bCs/>
                <w:sz w:val="24"/>
                <w:szCs w:val="24"/>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10" w:hRule="atLeast"/>
          <w:jc w:val="center"/>
        </w:trPr>
        <w:tc>
          <w:tcPr>
            <w:tcW w:w="1627"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备注</w:t>
            </w:r>
          </w:p>
        </w:tc>
        <w:tc>
          <w:tcPr>
            <w:tcW w:w="3372"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default" w:ascii="宋体" w:hAnsi="宋体" w:eastAsia="宋体" w:cs="宋体"/>
                <w:b w:val="0"/>
                <w:bCs/>
                <w:sz w:val="24"/>
                <w:szCs w:val="24"/>
                <w:highlight w:val="none"/>
                <w:u w:val="single"/>
                <w:lang w:val="en-US" w:eastAsia="zh-CN"/>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2"/>
        <w:rPr>
          <w:rFonts w:hint="eastAsia"/>
          <w:bCs/>
          <w:sz w:val="32"/>
          <w:szCs w:val="32"/>
          <w:lang w:eastAsia="zh-CN"/>
        </w:rPr>
      </w:pPr>
    </w:p>
    <w:p>
      <w:pPr>
        <w:rPr>
          <w:rFonts w:hint="eastAsia"/>
          <w:lang w:eastAsia="zh-CN"/>
        </w:rPr>
      </w:pPr>
    </w:p>
    <w:p>
      <w:pPr>
        <w:jc w:val="both"/>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A4BB671"/>
    <w:multiLevelType w:val="singleLevel"/>
    <w:tmpl w:val="1A4BB671"/>
    <w:lvl w:ilvl="0" w:tentative="0">
      <w:start w:val="3"/>
      <w:numFmt w:val="chineseCounting"/>
      <w:suff w:val="space"/>
      <w:lvlText w:val="第%1部分"/>
      <w:lvlJc w:val="left"/>
      <w:pPr>
        <w:ind w:left="3103" w:leftChars="0" w:firstLine="0" w:firstLineChars="0"/>
      </w:pPr>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DQ1MGM5YTkwNzIyMTBkYjliZTBhNzk2NDQ1MTk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7E504AA"/>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5A149AB"/>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B1738"/>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A6088D"/>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DF3CFF"/>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D5302F"/>
    <w:rsid w:val="3FDA683B"/>
    <w:rsid w:val="40427D97"/>
    <w:rsid w:val="404C0B5B"/>
    <w:rsid w:val="406C1311"/>
    <w:rsid w:val="40BE7D97"/>
    <w:rsid w:val="41414249"/>
    <w:rsid w:val="41E407BC"/>
    <w:rsid w:val="42273266"/>
    <w:rsid w:val="427824D8"/>
    <w:rsid w:val="42824A53"/>
    <w:rsid w:val="42916471"/>
    <w:rsid w:val="42BD4EFA"/>
    <w:rsid w:val="430C63DC"/>
    <w:rsid w:val="43720BDE"/>
    <w:rsid w:val="43877F11"/>
    <w:rsid w:val="43CC22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8529F7"/>
    <w:rsid w:val="5D1F6554"/>
    <w:rsid w:val="5D2A5F5C"/>
    <w:rsid w:val="5D516A48"/>
    <w:rsid w:val="5D8201C4"/>
    <w:rsid w:val="5DFE1FFE"/>
    <w:rsid w:val="5EA36CE4"/>
    <w:rsid w:val="5F0677D9"/>
    <w:rsid w:val="5F104785"/>
    <w:rsid w:val="5F305772"/>
    <w:rsid w:val="5F6665A4"/>
    <w:rsid w:val="5FA00A7A"/>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9EC32E8"/>
    <w:rsid w:val="6A41621D"/>
    <w:rsid w:val="6A454670"/>
    <w:rsid w:val="6A457750"/>
    <w:rsid w:val="6A537061"/>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04D62"/>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503BE"/>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2C4C94"/>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qFormat/>
    <w:uiPriority w:val="0"/>
    <w:pPr>
      <w:spacing w:before="100" w:beforeAutospacing="1"/>
    </w:pPr>
    <w:rPr>
      <w:rFonts w:ascii="Times New Roman" w:hAnsi="Times New Roman" w:eastAsia="宋体" w:cs="Times New Roman"/>
      <w:szCs w:val="21"/>
    </w:rPr>
  </w:style>
  <w:style w:type="paragraph" w:customStyle="1" w:styleId="15">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2913</Words>
  <Characters>3056</Characters>
  <Lines>0</Lines>
  <Paragraphs>0</Paragraphs>
  <TotalTime>2</TotalTime>
  <ScaleCrop>false</ScaleCrop>
  <LinksUpToDate>false</LinksUpToDate>
  <CharactersWithSpaces>3952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2023-03-14T01:06:00Z</cp:lastPrinted>
  <dcterms:modified xsi:type="dcterms:W3CDTF">2023-06-30T07:24:34Z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5624C7E5B4D04561B3944CD171F9B77D</vt:lpwstr>
  </property>
</Properties>
</file>