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hint="eastAsia" w:ascii="宋体" w:hAnsi="宋体" w:cs="宋体"/>
          <w:b/>
          <w:bCs/>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病理切片机</w:t>
      </w:r>
      <w:r>
        <w:rPr>
          <w:rFonts w:hint="eastAsia" w:ascii="宋体" w:hAnsi="宋体" w:cs="宋体"/>
          <w:b/>
          <w:bCs/>
          <w:sz w:val="36"/>
          <w:szCs w:val="36"/>
          <w:lang w:val="zh-CN"/>
        </w:rPr>
        <w:t>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一</w:t>
      </w:r>
      <w:r>
        <w:rPr>
          <w:rFonts w:hint="eastAsia" w:ascii="宋体" w:hAnsi="宋体"/>
          <w:b/>
          <w:bCs/>
          <w:sz w:val="36"/>
          <w:szCs w:val="36"/>
        </w:rPr>
        <w:t>年</w:t>
      </w:r>
      <w:r>
        <w:rPr>
          <w:rFonts w:hint="eastAsia" w:ascii="宋体" w:hAnsi="宋体"/>
          <w:b/>
          <w:bCs/>
          <w:sz w:val="36"/>
          <w:szCs w:val="36"/>
          <w:lang w:eastAsia="zh-CN"/>
        </w:rPr>
        <w:t>三</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rPr>
          <w:rFonts w:ascii="宋体" w:hAnsi="宋体" w:cs="宋体"/>
        </w:rPr>
      </w:pPr>
      <w:bookmarkStart w:id="0" w:name="_Toc528493563"/>
      <w:bookmarkStart w:id="1" w:name="_Toc528493163"/>
      <w:bookmarkStart w:id="2" w:name="_Toc528493082"/>
      <w:bookmarkStart w:id="3" w:name="_Toc528493130"/>
      <w:r>
        <w:rPr>
          <w:rFonts w:hint="eastAsia" w:ascii="宋体" w:hAnsi="宋体" w:cs="宋体"/>
        </w:rPr>
        <w:br w:type="page"/>
      </w:r>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03"/>
      <w:bookmarkStart w:id="6" w:name="_Toc28359080"/>
      <w:bookmarkStart w:id="7" w:name="_Toc35393791"/>
      <w:bookmarkStart w:id="8" w:name="_Toc35393622"/>
      <w:r>
        <w:rPr>
          <w:rFonts w:hint="eastAsia" w:ascii="宋体" w:hAnsi="宋体" w:cs="宋体"/>
          <w:sz w:val="24"/>
          <w:lang w:val="zh-CN"/>
        </w:rPr>
        <w:t>根据鄂东医疗集团市妇幼保健院的需求，就病理切片机采购项目以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color w:val="FF0000"/>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color w:val="FF0000"/>
          <w:sz w:val="24"/>
          <w:lang w:val="zh-CN"/>
        </w:rPr>
        <w:t>病理切片机采购项目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hint="default" w:ascii="宋体" w:hAnsi="宋体" w:eastAsia="宋体" w:cs="宋体"/>
          <w:color w:val="FF0000"/>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FF0000"/>
          <w:sz w:val="24"/>
          <w:lang w:val="en-US" w:eastAsia="zh-CN"/>
        </w:rPr>
        <w:t>14.8万元整（超过预算报价，视为无效投标）</w:t>
      </w:r>
    </w:p>
    <w:p>
      <w:pPr>
        <w:spacing w:line="420" w:lineRule="exact"/>
        <w:ind w:firstLine="480" w:firstLineChars="200"/>
        <w:rPr>
          <w:rFonts w:asci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color w:val="FF0000"/>
          <w:sz w:val="24"/>
          <w:lang w:val="en-US" w:eastAsia="zh-CN"/>
        </w:rPr>
        <w:t>1</w:t>
      </w:r>
      <w:r>
        <w:rPr>
          <w:rFonts w:hint="eastAsia" w:ascii="宋体" w:hAnsi="宋体" w:cs="宋体"/>
          <w:color w:val="FF0000"/>
          <w:sz w:val="24"/>
        </w:rPr>
        <w:t>台</w:t>
      </w:r>
    </w:p>
    <w:bookmarkEnd w:id="5"/>
    <w:bookmarkEnd w:id="6"/>
    <w:bookmarkEnd w:id="7"/>
    <w:bookmarkEnd w:id="8"/>
    <w:bookmarkEnd w:id="9"/>
    <w:bookmarkEnd w:id="10"/>
    <w:p>
      <w:pPr>
        <w:spacing w:line="420" w:lineRule="exact"/>
        <w:rPr>
          <w:rFonts w:ascii="宋体" w:cs="宋体"/>
          <w:b/>
          <w:bCs/>
          <w:color w:val="000000"/>
          <w:sz w:val="24"/>
        </w:rPr>
      </w:pPr>
      <w:bookmarkStart w:id="11" w:name="_Toc35393623"/>
      <w:bookmarkStart w:id="12" w:name="_Toc35393792"/>
      <w:bookmarkStart w:id="13" w:name="_Toc28359004"/>
      <w:bookmarkStart w:id="14" w:name="_Toc28359081"/>
      <w:r>
        <w:rPr>
          <w:rFonts w:hint="eastAsia" w:ascii="宋体" w:hAnsi="宋体" w:cs="宋体"/>
          <w:b/>
          <w:bCs/>
          <w:color w:val="000000"/>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w:t>
      </w:r>
      <w:r>
        <w:rPr>
          <w:rFonts w:hint="eastAsia" w:ascii="宋体" w:hAnsi="宋体" w:cs="宋体"/>
          <w:color w:val="000000"/>
          <w:sz w:val="24"/>
          <w:lang w:eastAsia="zh-CN"/>
        </w:rPr>
        <w:t>，</w:t>
      </w:r>
      <w:r>
        <w:rPr>
          <w:rFonts w:hint="eastAsia" w:ascii="宋体" w:hAnsi="宋体" w:cs="宋体"/>
          <w:color w:val="000000"/>
          <w:sz w:val="24"/>
        </w:rPr>
        <w:t>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pacing w:line="420" w:lineRule="exact"/>
        <w:rPr>
          <w:rFonts w:ascii="宋体" w:cs="宋体"/>
          <w:b/>
          <w:bCs/>
          <w:sz w:val="24"/>
        </w:rPr>
      </w:pPr>
      <w:bookmarkStart w:id="15" w:name="_Toc28359084"/>
      <w:bookmarkStart w:id="16" w:name="_Toc28359007"/>
      <w:bookmarkStart w:id="17" w:name="_Toc35393794"/>
      <w:bookmarkStart w:id="18" w:name="_Toc35393625"/>
      <w:bookmarkStart w:id="19" w:name="_Toc528493131"/>
      <w:bookmarkStart w:id="20" w:name="_Toc528493164"/>
      <w:bookmarkStart w:id="21" w:name="_Toc528494275"/>
      <w:bookmarkStart w:id="22" w:name="_Toc528493576"/>
      <w:bookmarkStart w:id="23" w:name="_Toc528493083"/>
      <w:r>
        <w:rPr>
          <w:rFonts w:hint="eastAsia" w:ascii="宋体" w:hAnsi="宋体" w:cs="宋体"/>
          <w:b/>
          <w:bCs/>
          <w:sz w:val="24"/>
        </w:rPr>
        <w:t>三、报名及磋商文件获取方式：</w:t>
      </w:r>
    </w:p>
    <w:p>
      <w:pPr>
        <w:numPr>
          <w:ilvl w:val="0"/>
          <w:numId w:val="0"/>
        </w:numPr>
        <w:spacing w:line="360" w:lineRule="auto"/>
        <w:ind w:firstLine="240" w:firstLineChars="100"/>
        <w:jc w:val="both"/>
        <w:rPr>
          <w:rFonts w:hint="eastAsia" w:ascii="宋体" w:hAnsi="宋体" w:cs="宋体"/>
          <w:color w:val="000000"/>
          <w:sz w:val="24"/>
        </w:rPr>
      </w:pPr>
      <w:r>
        <w:rPr>
          <w:rFonts w:hint="eastAsia" w:ascii="宋体" w:hAnsi="宋体" w:cs="宋体"/>
          <w:color w:val="000000"/>
          <w:sz w:val="24"/>
        </w:rPr>
        <w:t>1．报名地点：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医疗器械经营企业许可证、、医疗器械产品注册证及相应登记附表、公司法人授权委托书、投标产品品牌授权书，以上证件加盖公章复印件到黄石市妇幼保健院3号楼206办公室报名，或接受电话报名，并将相关资质及联系方式发送到邮箱Zbb@hsfybjy.com进行审核。</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报名时间：2021年3月 22 日-2021年 3 月 25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 xml:space="preserve">   2、递交标书及开标时间：2021年3 月 26 日上午9:00；</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22</w:t>
      </w:r>
      <w:bookmarkStart w:id="45" w:name="_GoBack"/>
      <w:bookmarkEnd w:id="45"/>
      <w:r>
        <w:rPr>
          <w:rFonts w:hint="eastAsia" w:ascii="宋体" w:hAnsi="宋体" w:eastAsia="宋体" w:cs="宋体"/>
          <w:color w:val="000000"/>
          <w:sz w:val="24"/>
          <w:lang w:val="en-US" w:eastAsia="zh-CN"/>
        </w:rPr>
        <w:t>日</w:t>
      </w:r>
    </w:p>
    <w:bookmarkEnd w:id="15"/>
    <w:bookmarkEnd w:id="16"/>
    <w:bookmarkEnd w:id="17"/>
    <w:bookmarkEnd w:id="18"/>
    <w:p>
      <w:pPr>
        <w:pStyle w:val="10"/>
        <w:rPr>
          <w:rFonts w:ascii="宋体" w:hAnsi="宋体" w:cs="宋体"/>
        </w:rPr>
      </w:pPr>
    </w:p>
    <w:p>
      <w:pPr>
        <w:pStyle w:val="10"/>
        <w:rPr>
          <w:rFonts w:ascii="宋体" w:hAnsi="宋体" w:cs="宋体"/>
        </w:rPr>
      </w:pPr>
    </w:p>
    <w:p>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5"/>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6"/>
          <w:rFonts w:ascii="宋体" w:hAnsi="宋体" w:cs="宋体"/>
          <w:sz w:val="24"/>
          <w:szCs w:val="24"/>
        </w:rPr>
      </w:pPr>
      <w:r>
        <w:rPr>
          <w:rFonts w:hint="eastAsia" w:ascii="宋体" w:hAnsi="宋体" w:cs="宋体"/>
          <w:b/>
          <w:bCs/>
          <w:sz w:val="24"/>
          <w:szCs w:val="24"/>
        </w:rPr>
        <w:t xml:space="preserve">2. </w:t>
      </w:r>
      <w:r>
        <w:rPr>
          <w:rStyle w:val="16"/>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6"/>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6"/>
          <w:rFonts w:hint="eastAsia" w:hAnsi="宋体" w:cs="宋体"/>
          <w:sz w:val="24"/>
          <w:szCs w:val="24"/>
        </w:rPr>
        <w:t>二、磋商文件</w:t>
      </w:r>
      <w:bookmarkEnd w:id="25"/>
      <w:r>
        <w:rPr>
          <w:rStyle w:val="16"/>
          <w:rFonts w:hint="eastAsia" w:hAnsi="宋体" w:cs="宋体"/>
          <w:sz w:val="24"/>
          <w:szCs w:val="24"/>
        </w:rPr>
        <w:t>的澄清与修改</w:t>
      </w:r>
    </w:p>
    <w:p>
      <w:pPr>
        <w:pStyle w:val="5"/>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6"/>
          <w:rFonts w:ascii="宋体" w:hAnsi="宋体" w:cs="宋体"/>
          <w:sz w:val="24"/>
          <w:szCs w:val="24"/>
        </w:rPr>
      </w:pPr>
      <w:bookmarkStart w:id="26" w:name="_Toc528494278"/>
      <w:r>
        <w:rPr>
          <w:rStyle w:val="16"/>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6"/>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6"/>
          <w:rFonts w:ascii="宋体" w:hAnsi="宋体" w:cs="宋体"/>
          <w:sz w:val="24"/>
          <w:szCs w:val="24"/>
        </w:rPr>
      </w:pPr>
      <w:bookmarkStart w:id="27" w:name="_Toc528493132"/>
      <w:bookmarkStart w:id="28" w:name="_Toc528493165"/>
      <w:bookmarkStart w:id="29" w:name="_Toc528493084"/>
      <w:bookmarkStart w:id="30" w:name="_Toc528494280"/>
      <w:bookmarkStart w:id="31" w:name="_Toc528493577"/>
      <w:r>
        <w:rPr>
          <w:rStyle w:val="16"/>
          <w:rFonts w:hint="eastAsia" w:ascii="宋体" w:hAnsi="宋体" w:cs="宋体"/>
          <w:sz w:val="24"/>
          <w:szCs w:val="24"/>
        </w:rPr>
        <w:t>2．磋商报价要求</w:t>
      </w:r>
      <w:bookmarkEnd w:id="27"/>
      <w:bookmarkEnd w:id="28"/>
      <w:bookmarkEnd w:id="29"/>
      <w:bookmarkEnd w:id="30"/>
      <w:bookmarkEnd w:id="3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6"/>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6"/>
          <w:rFonts w:ascii="宋体" w:hAnsi="宋体" w:cs="宋体"/>
          <w:sz w:val="24"/>
          <w:szCs w:val="24"/>
        </w:rPr>
      </w:pPr>
      <w:bookmarkStart w:id="32" w:name="_Toc528494284"/>
      <w:r>
        <w:rPr>
          <w:rStyle w:val="16"/>
          <w:rFonts w:hint="eastAsia" w:ascii="宋体" w:hAnsi="宋体" w:cs="宋体"/>
          <w:sz w:val="24"/>
          <w:szCs w:val="24"/>
        </w:rPr>
        <w:t>六、确定成交供应商办法</w:t>
      </w:r>
      <w:bookmarkEnd w:id="3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7"/>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12"/>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9"/>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9"/>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color w:val="FF0000"/>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w:t>
            </w:r>
            <w:r>
              <w:rPr>
                <w:rFonts w:hint="eastAsia" w:ascii="宋体" w:hAnsi="宋体"/>
                <w:color w:val="FF0000"/>
                <w:sz w:val="24"/>
                <w:szCs w:val="24"/>
              </w:rPr>
              <w:t>(供应商在磋商文件中必须载明所投设备的技术证明或检测报告，以及参数部分或彩色宣传资料等证明材料)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color w:val="FF0000"/>
                <w:sz w:val="24"/>
                <w:szCs w:val="24"/>
              </w:rPr>
              <w:t>4. 磋商文件中没有提供原厂技术证明或检测报告，以及参数部分或彩色宣传资料等证明材料将减</w:t>
            </w:r>
            <w:r>
              <w:rPr>
                <w:rFonts w:hint="eastAsia" w:ascii="宋体" w:hAnsi="宋体"/>
                <w:color w:val="FF0000"/>
                <w:sz w:val="24"/>
                <w:szCs w:val="24"/>
                <w:lang w:val="en-US" w:eastAsia="zh-CN"/>
              </w:rPr>
              <w:t>5</w:t>
            </w:r>
            <w:r>
              <w:rPr>
                <w:rFonts w:hint="eastAsia" w:ascii="宋体" w:hAnsi="宋体"/>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9"/>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9"/>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提供近两年（2018年1月1日至今）类似中标产品用户使用情况和售后服务评价（必须加盖用户公章并提供用户有效的联系方式）的一项得1分。最多得4分，没有提供或有不良反映的不得分。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lang w:eastAsia="zh-CN"/>
              </w:rPr>
              <w:t>提供近三年（</w:t>
            </w:r>
            <w:r>
              <w:rPr>
                <w:rFonts w:hint="eastAsia" w:ascii="宋体" w:hAnsi="宋体"/>
                <w:sz w:val="24"/>
                <w:szCs w:val="24"/>
              </w:rPr>
              <w:t>（2018年1月1日至今</w:t>
            </w:r>
            <w:r>
              <w:rPr>
                <w:rFonts w:hint="eastAsia" w:ascii="宋体" w:hAnsi="宋体"/>
                <w:sz w:val="24"/>
                <w:szCs w:val="24"/>
                <w:lang w:eastAsia="zh-CN"/>
              </w:rPr>
              <w:t>）</w:t>
            </w: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5"/>
        <w:rPr>
          <w:rFonts w:hAnsi="宋体"/>
          <w:sz w:val="24"/>
          <w:szCs w:val="24"/>
        </w:rPr>
      </w:pPr>
      <w:bookmarkStart w:id="34" w:name="_Toc528493086"/>
      <w:bookmarkStart w:id="35" w:name="_Toc528493134"/>
      <w:bookmarkStart w:id="36" w:name="_Toc528493579"/>
      <w:bookmarkStart w:id="37" w:name="_Toc528494285"/>
      <w:bookmarkStart w:id="38" w:name="_Toc528493167"/>
    </w:p>
    <w:p>
      <w:pPr>
        <w:pStyle w:val="10"/>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cs="宋体"/>
          <w:color w:val="FF0000"/>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color w:val="000000" w:themeColor="text1"/>
          <w:sz w:val="24"/>
          <w:lang w:val="zh-CN"/>
        </w:rPr>
        <w:t>病理切片机采购项目；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default" w:ascii="宋体" w:hAnsi="宋体" w:eastAsia="宋体" w:cs="宋体"/>
          <w:color w:val="FF0000"/>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000000"/>
          <w:sz w:val="24"/>
          <w:lang w:val="en-US" w:eastAsia="zh-CN"/>
        </w:rPr>
        <w:t>14.8</w:t>
      </w:r>
      <w:r>
        <w:rPr>
          <w:rFonts w:hint="eastAsia" w:ascii="宋体" w:hAnsi="宋体" w:cs="宋体"/>
          <w:color w:val="000000" w:themeColor="text1"/>
          <w:sz w:val="24"/>
          <w:lang w:val="en-US" w:eastAsia="zh-CN"/>
        </w:rPr>
        <w:t>万元；</w:t>
      </w:r>
    </w:p>
    <w:p>
      <w:pPr>
        <w:spacing w:line="420" w:lineRule="exact"/>
        <w:ind w:firstLine="480" w:firstLineChars="200"/>
        <w:rPr>
          <w:rFonts w:hint="eastAsia" w:ascii="宋体" w:eastAsia="宋体" w:cs="宋体"/>
          <w:sz w:val="24"/>
          <w:lang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eastAsia="zh-CN"/>
        </w:rPr>
        <w:t>壹</w:t>
      </w:r>
      <w:r>
        <w:rPr>
          <w:rFonts w:hint="eastAsia" w:ascii="宋体" w:hAnsi="宋体" w:cs="宋体"/>
          <w:sz w:val="24"/>
        </w:rPr>
        <w:t>台</w:t>
      </w:r>
      <w:r>
        <w:rPr>
          <w:rFonts w:hint="eastAsia" w:ascii="宋体" w:hAnsi="宋体" w:cs="宋体"/>
          <w:sz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szCs w:val="24"/>
        </w:rPr>
        <w:t>交货地点：鄂东医疗集团市</w:t>
      </w:r>
      <w:r>
        <w:rPr>
          <w:rFonts w:hint="eastAsia" w:ascii="宋体" w:hAnsi="宋体" w:cs="宋体"/>
          <w:sz w:val="24"/>
          <w:szCs w:val="24"/>
          <w:lang w:eastAsia="zh-CN"/>
        </w:rPr>
        <w:t>市妇幼保健院</w:t>
      </w:r>
      <w:r>
        <w:rPr>
          <w:rFonts w:hint="eastAsia" w:ascii="宋体" w:hAnsi="宋体" w:cs="宋体"/>
          <w:sz w:val="24"/>
          <w:szCs w:val="24"/>
        </w:rPr>
        <w:t>医院指定地点</w:t>
      </w:r>
      <w:r>
        <w:rPr>
          <w:rFonts w:hint="eastAsia" w:ascii="宋体" w:hAnsi="宋体" w:cs="宋体"/>
          <w:sz w:val="24"/>
          <w:szCs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r>
        <w:rPr>
          <w:rFonts w:hint="eastAsia" w:ascii="宋体" w:hAnsi="宋体" w:cs="宋体"/>
          <w:sz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不少于两年</w:t>
      </w:r>
      <w:r>
        <w:rPr>
          <w:rFonts w:hint="eastAsia" w:ascii="宋体" w:hAnsi="宋体" w:cs="宋体"/>
          <w:sz w:val="24"/>
          <w:lang w:eastAsia="zh-CN"/>
        </w:rPr>
        <w:t>；</w:t>
      </w:r>
    </w:p>
    <w:p>
      <w:pPr>
        <w:spacing w:line="420" w:lineRule="exact"/>
        <w:ind w:firstLine="480" w:firstLineChars="200"/>
        <w:rPr>
          <w:rFonts w:hint="eastAsia" w:ascii="宋体" w:hAnsi="宋体" w:eastAsia="宋体" w:cs="宋体"/>
          <w:b/>
          <w:bCs/>
          <w:sz w:val="28"/>
          <w:szCs w:val="21"/>
          <w:lang w:eastAsia="zh-CN"/>
        </w:rPr>
      </w:pPr>
      <w:r>
        <w:rPr>
          <w:rFonts w:hint="eastAsia" w:ascii="宋体" w:hAnsi="宋体" w:cs="宋体"/>
          <w:sz w:val="24"/>
          <w:lang w:val="en-US" w:eastAsia="zh-CN"/>
        </w:rPr>
        <w:t>8</w:t>
      </w:r>
      <w:r>
        <w:rPr>
          <w:rFonts w:ascii="宋体" w:hAnsi="宋体" w:cs="宋体"/>
          <w:sz w:val="24"/>
        </w:rPr>
        <w:t>.</w:t>
      </w:r>
      <w:r>
        <w:rPr>
          <w:rFonts w:hint="eastAsia" w:ascii="宋体" w:hAnsi="宋体" w:cs="宋体"/>
          <w:sz w:val="24"/>
        </w:rPr>
        <w:t>质量要求：符合国家管理、质检部门合格标准</w:t>
      </w:r>
      <w:bookmarkStart w:id="39" w:name="_Toc528494286"/>
      <w:bookmarkStart w:id="40" w:name="_Toc528493168"/>
      <w:bookmarkStart w:id="41" w:name="_Hlk18936003"/>
      <w:bookmarkStart w:id="42" w:name="_Toc528493087"/>
      <w:bookmarkStart w:id="43" w:name="_Toc528493580"/>
      <w:bookmarkStart w:id="44" w:name="_Toc528493135"/>
      <w:r>
        <w:rPr>
          <w:rFonts w:hint="eastAsia" w:ascii="宋体" w:hAnsi="宋体" w:cs="宋体"/>
          <w:sz w:val="24"/>
          <w:lang w:eastAsia="zh-CN"/>
        </w:rPr>
        <w:t>；</w:t>
      </w:r>
    </w:p>
    <w:p>
      <w:pPr>
        <w:spacing w:line="360" w:lineRule="auto"/>
        <w:rPr>
          <w:rFonts w:ascii="宋体" w:hAnsi="宋体" w:cs="宋体"/>
          <w:b/>
          <w:bCs/>
          <w:sz w:val="24"/>
          <w:szCs w:val="24"/>
        </w:rPr>
      </w:pPr>
      <w:r>
        <w:rPr>
          <w:rFonts w:hint="eastAsia" w:ascii="宋体" w:hAnsi="宋体" w:cs="宋体"/>
          <w:b/>
          <w:bCs/>
          <w:sz w:val="24"/>
          <w:szCs w:val="24"/>
        </w:rPr>
        <w:t>二、技术规格及要求：</w:t>
      </w:r>
    </w:p>
    <w:bookmarkEnd w:id="39"/>
    <w:bookmarkEnd w:id="40"/>
    <w:bookmarkEnd w:id="41"/>
    <w:bookmarkEnd w:id="42"/>
    <w:bookmarkEnd w:id="43"/>
    <w:bookmarkEnd w:id="44"/>
    <w:tbl>
      <w:tblPr>
        <w:tblStyle w:val="12"/>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875"/>
        <w:gridCol w:w="1215"/>
        <w:gridCol w:w="990"/>
        <w:gridCol w:w="1920"/>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0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256" w:type="dxa"/>
            <w:gridSpan w:val="5"/>
            <w:noWrap w:val="0"/>
            <w:vAlign w:val="center"/>
          </w:tcPr>
          <w:p>
            <w:pPr>
              <w:adjustRightInd w:val="0"/>
              <w:snapToGrid w:val="0"/>
              <w:ind w:left="195"/>
              <w:jc w:val="center"/>
              <w:rPr>
                <w:rFonts w:hint="eastAsia" w:ascii="宋体" w:hAnsi="宋体"/>
                <w:b/>
                <w:szCs w:val="21"/>
              </w:rPr>
            </w:pPr>
            <w:r>
              <w:rPr>
                <w:rFonts w:hint="eastAsia" w:ascii="宋体" w:hAnsi="宋体" w:eastAsia="宋体"/>
                <w:szCs w:val="21"/>
                <w:lang w:eastAsia="zh-CN"/>
              </w:rPr>
              <w:t>病理切片机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05"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1875" w:type="dxa"/>
            <w:noWrap w:val="0"/>
            <w:vAlign w:val="center"/>
          </w:tcPr>
          <w:p>
            <w:pPr>
              <w:adjustRightInd w:val="0"/>
              <w:snapToGrid w:val="0"/>
              <w:ind w:firstLine="420" w:firstLineChars="200"/>
              <w:jc w:val="left"/>
              <w:rPr>
                <w:rFonts w:hint="eastAsia" w:ascii="宋体" w:hAnsi="宋体" w:eastAsia="宋体"/>
                <w:szCs w:val="21"/>
                <w:lang w:eastAsia="zh-CN"/>
              </w:rPr>
            </w:pPr>
          </w:p>
        </w:tc>
        <w:tc>
          <w:tcPr>
            <w:tcW w:w="1215"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90"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1台套</w:t>
            </w:r>
          </w:p>
        </w:tc>
        <w:tc>
          <w:tcPr>
            <w:tcW w:w="1920"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2256" w:type="dxa"/>
            <w:noWrap w:val="0"/>
            <w:vAlign w:val="center"/>
          </w:tcPr>
          <w:p>
            <w:pPr>
              <w:adjustRightInd w:val="0"/>
              <w:snapToGrid w:val="0"/>
              <w:ind w:firstLine="840" w:firstLineChars="400"/>
              <w:jc w:val="both"/>
              <w:rPr>
                <w:rFonts w:hint="default" w:ascii="宋体" w:hAnsi="宋体" w:eastAsia="宋体"/>
                <w:szCs w:val="21"/>
                <w:lang w:val="en-US" w:eastAsia="zh-CN"/>
              </w:rPr>
            </w:pPr>
            <w:r>
              <w:rPr>
                <w:rFonts w:hint="eastAsia" w:ascii="宋体" w:hAnsi="宋体" w:eastAsia="宋体"/>
                <w:szCs w:val="21"/>
                <w:lang w:val="en-US" w:eastAsia="zh-CN"/>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9861" w:type="dxa"/>
            <w:gridSpan w:val="6"/>
            <w:noWrap w:val="0"/>
            <w:vAlign w:val="top"/>
          </w:tcPr>
          <w:p>
            <w:pPr>
              <w:widowControl/>
              <w:jc w:val="left"/>
              <w:rPr>
                <w:rFonts w:hint="eastAsia" w:ascii="宋体" w:hAnsi="宋体" w:cs="宋体"/>
                <w:b/>
                <w:kern w:val="0"/>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w:t>
            </w:r>
          </w:p>
          <w:p>
            <w:pPr>
              <w:widowControl/>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功用：半自动均匀连续切片。</w:t>
            </w:r>
          </w:p>
          <w:p>
            <w:pPr>
              <w:widowControl/>
              <w:jc w:val="lef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配置：</w:t>
            </w:r>
            <w:r>
              <w:rPr>
                <w:rFonts w:hint="eastAsia" w:ascii="宋体" w:hAnsi="宋体" w:eastAsia="宋体" w:cs="宋体"/>
                <w:i w:val="0"/>
                <w:color w:val="000000"/>
                <w:kern w:val="0"/>
                <w:sz w:val="22"/>
                <w:szCs w:val="22"/>
                <w:u w:val="none"/>
                <w:lang w:val="en-US" w:eastAsia="zh-CN" w:bidi="ar"/>
              </w:rPr>
              <w:t>主机：1台；</w:t>
            </w:r>
            <w:r>
              <w:rPr>
                <w:rFonts w:hint="eastAsia" w:ascii="宋体" w:hAnsi="宋体" w:cs="宋体"/>
                <w:i w:val="0"/>
                <w:color w:val="000000"/>
                <w:kern w:val="0"/>
                <w:sz w:val="22"/>
                <w:szCs w:val="22"/>
                <w:u w:val="none"/>
                <w:lang w:val="en-US" w:eastAsia="zh-CN" w:bidi="ar"/>
              </w:rPr>
              <w:t>防静电</w:t>
            </w:r>
            <w:r>
              <w:rPr>
                <w:rFonts w:hint="eastAsia" w:ascii="宋体" w:hAnsi="宋体" w:eastAsia="宋体" w:cs="宋体"/>
                <w:i w:val="0"/>
                <w:color w:val="000000"/>
                <w:kern w:val="0"/>
                <w:sz w:val="22"/>
                <w:szCs w:val="22"/>
                <w:u w:val="none"/>
                <w:lang w:val="en-US" w:eastAsia="zh-CN" w:bidi="ar"/>
              </w:rPr>
              <w:t>废物槽：1套；精准定位系统：1套；快装系统：1套；通用型样品夹：1套；刀座：2套；刀架：1套；电源线：1份</w:t>
            </w:r>
          </w:p>
          <w:p>
            <w:pPr>
              <w:widowControl/>
              <w:jc w:val="left"/>
              <w:rPr>
                <w:rFonts w:hint="default"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numPr>
                <w:ilvl w:val="0"/>
                <w:numId w:val="1"/>
              </w:numPr>
              <w:adjustRightInd w:val="0"/>
              <w:snapToGrid w:val="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切片模式：半刀和全手轮转模式，且手轮有独立的锁定系统；</w:t>
            </w:r>
          </w:p>
          <w:p>
            <w:pPr>
              <w:numPr>
                <w:ilvl w:val="0"/>
                <w:numId w:val="1"/>
              </w:numPr>
              <w:adjustRightInd w:val="0"/>
              <w:snapToGrid w:val="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切片厚度及修块厚度：切片厚度：0.5-100μm；修块厚度：1-600µm；</w:t>
            </w:r>
          </w:p>
          <w:p>
            <w:pPr>
              <w:numPr>
                <w:ilvl w:val="0"/>
                <w:numId w:val="1"/>
              </w:numPr>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垂直样品行程：</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70mm；</w:t>
            </w:r>
          </w:p>
          <w:p>
            <w:pPr>
              <w:numPr>
                <w:ilvl w:val="0"/>
                <w:numId w:val="1"/>
              </w:numPr>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水平进样幅度：</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24mm；</w:t>
            </w:r>
          </w:p>
          <w:p>
            <w:pPr>
              <w:numPr>
                <w:ilvl w:val="0"/>
                <w:numId w:val="0"/>
              </w:numPr>
              <w:ind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*5、刀架：可同时适用于宽刀片和窄刀片的二合一刀架，具备三点锁定及侧向移动功能；</w:t>
            </w:r>
          </w:p>
          <w:p>
            <w:pPr>
              <w:numPr>
                <w:ilvl w:val="0"/>
                <w:numId w:val="0"/>
              </w:numPr>
              <w:ind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6、最大样品尺寸：≦11.55×50×30mm；</w:t>
            </w:r>
          </w:p>
          <w:p>
            <w:pPr>
              <w:numPr>
                <w:ilvl w:val="0"/>
                <w:numId w:val="0"/>
              </w:numPr>
              <w:ind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*7、小手轮：可自定义顺时针及逆时针转动方向；具备步进和连续运行模式；</w:t>
            </w:r>
          </w:p>
          <w:p>
            <w:pPr>
              <w:numPr>
                <w:ilvl w:val="0"/>
                <w:numId w:val="0"/>
              </w:numPr>
              <w:ind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8、粗进速度：300μm/s，800μm/s和1800μm/s；</w:t>
            </w:r>
          </w:p>
          <w:p>
            <w:pPr>
              <w:numPr>
                <w:ilvl w:val="0"/>
                <w:numId w:val="0"/>
              </w:numPr>
              <w:ind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9、带0位样本定位系统：可X/Y轴调节，8度水平定位样本；</w:t>
            </w:r>
          </w:p>
          <w:p>
            <w:pPr>
              <w:numPr>
                <w:ilvl w:val="0"/>
                <w:numId w:val="0"/>
              </w:numPr>
              <w:ind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10、信号：具备可视信号和声音信号提示</w:t>
            </w:r>
            <w:r>
              <w:rPr>
                <w:rFonts w:hint="eastAsia" w:ascii="宋体" w:hAnsi="宋体" w:cs="宋体"/>
                <w:i w:val="0"/>
                <w:color w:val="000000"/>
                <w:kern w:val="0"/>
                <w:sz w:val="22"/>
                <w:szCs w:val="22"/>
                <w:u w:val="none"/>
                <w:lang w:val="en-US" w:eastAsia="zh-CN" w:bidi="ar"/>
              </w:rPr>
              <w:t>剩余</w:t>
            </w:r>
            <w:r>
              <w:rPr>
                <w:rFonts w:hint="eastAsia" w:ascii="宋体" w:hAnsi="宋体" w:eastAsia="宋体" w:cs="宋体"/>
                <w:i w:val="0"/>
                <w:color w:val="000000"/>
                <w:kern w:val="0"/>
                <w:sz w:val="22"/>
                <w:szCs w:val="22"/>
                <w:u w:val="none"/>
                <w:lang w:val="en-US" w:eastAsia="zh-CN" w:bidi="ar"/>
              </w:rPr>
              <w:t>进样距离。</w:t>
            </w:r>
          </w:p>
          <w:p>
            <w:pPr>
              <w:numPr>
                <w:ilvl w:val="0"/>
                <w:numId w:val="0"/>
              </w:numPr>
              <w:ind w:leftChars="0"/>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3年；如遇故障2小时响应，24小时到达现场维修；每季度至少一次保养及回访。</w:t>
            </w:r>
          </w:p>
        </w:tc>
      </w:tr>
    </w:tbl>
    <w:p>
      <w:pPr>
        <w:spacing w:line="560" w:lineRule="exact"/>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84E1D"/>
    <w:multiLevelType w:val="singleLevel"/>
    <w:tmpl w:val="5A384E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F870B5"/>
    <w:rsid w:val="04550258"/>
    <w:rsid w:val="0762589B"/>
    <w:rsid w:val="164E3296"/>
    <w:rsid w:val="18D655C1"/>
    <w:rsid w:val="1DD75E51"/>
    <w:rsid w:val="29206C33"/>
    <w:rsid w:val="29B528D3"/>
    <w:rsid w:val="29E32F07"/>
    <w:rsid w:val="2E7B5E33"/>
    <w:rsid w:val="32791E67"/>
    <w:rsid w:val="32AB65C9"/>
    <w:rsid w:val="34771EDC"/>
    <w:rsid w:val="43927C81"/>
    <w:rsid w:val="44AC4AE9"/>
    <w:rsid w:val="45940BE3"/>
    <w:rsid w:val="54B24A6E"/>
    <w:rsid w:val="5C1C7E73"/>
    <w:rsid w:val="61BE3442"/>
    <w:rsid w:val="666979DA"/>
    <w:rsid w:val="692D1312"/>
    <w:rsid w:val="69EE499A"/>
    <w:rsid w:val="6BBC104F"/>
    <w:rsid w:val="6E6E3EF2"/>
    <w:rsid w:val="6FFD4587"/>
    <w:rsid w:val="73EB54D8"/>
    <w:rsid w:val="764F0B5A"/>
    <w:rsid w:val="76994FB4"/>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color w:val="0000FF"/>
      <w:sz w:val="24"/>
    </w:rPr>
  </w:style>
  <w:style w:type="paragraph" w:styleId="4">
    <w:name w:val="Body Text Indent"/>
    <w:basedOn w:val="1"/>
    <w:link w:val="19"/>
    <w:semiHidden/>
    <w:unhideWhenUsed/>
    <w:qFormat/>
    <w:uiPriority w:val="99"/>
    <w:pPr>
      <w:spacing w:after="120"/>
      <w:ind w:left="420" w:leftChars="200"/>
    </w:pPr>
  </w:style>
  <w:style w:type="paragraph" w:styleId="5">
    <w:name w:val="Plain Text"/>
    <w:basedOn w:val="1"/>
    <w:link w:val="18"/>
    <w:qFormat/>
    <w:uiPriority w:val="99"/>
    <w:rPr>
      <w:rFonts w:ascii="宋体" w:hAnsi="Courier New" w:cstheme="minorBidi"/>
      <w:szCs w:val="22"/>
    </w:rPr>
  </w:style>
  <w:style w:type="paragraph" w:styleId="6">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6"/>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7"/>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4"/>
    <w:link w:val="20"/>
    <w:qFormat/>
    <w:uiPriority w:val="0"/>
    <w:pPr>
      <w:tabs>
        <w:tab w:val="left" w:pos="720"/>
      </w:tabs>
      <w:ind w:firstLine="420" w:firstLineChars="200"/>
    </w:pPr>
    <w:rPr>
      <w:rFonts w:ascii="宋体" w:hAnsi="宋体"/>
      <w:color w:val="000000"/>
    </w:rPr>
  </w:style>
  <w:style w:type="character" w:customStyle="1" w:styleId="14">
    <w:name w:val="页眉 字符"/>
    <w:basedOn w:val="13"/>
    <w:link w:val="7"/>
    <w:qFormat/>
    <w:uiPriority w:val="0"/>
    <w:rPr>
      <w:sz w:val="18"/>
      <w:szCs w:val="18"/>
    </w:rPr>
  </w:style>
  <w:style w:type="character" w:customStyle="1" w:styleId="15">
    <w:name w:val="页脚 字符"/>
    <w:basedOn w:val="13"/>
    <w:link w:val="6"/>
    <w:qFormat/>
    <w:uiPriority w:val="0"/>
    <w:rPr>
      <w:sz w:val="18"/>
      <w:szCs w:val="18"/>
    </w:rPr>
  </w:style>
  <w:style w:type="character" w:customStyle="1" w:styleId="16">
    <w:name w:val="副标题 字符"/>
    <w:link w:val="8"/>
    <w:qFormat/>
    <w:uiPriority w:val="0"/>
    <w:rPr>
      <w:rFonts w:ascii="Cambria" w:hAnsi="Cambria" w:cs="Times New Roman"/>
      <w:b/>
      <w:bCs/>
      <w:kern w:val="28"/>
      <w:sz w:val="32"/>
      <w:szCs w:val="32"/>
    </w:rPr>
  </w:style>
  <w:style w:type="character" w:customStyle="1" w:styleId="17">
    <w:name w:val="标题 字符"/>
    <w:link w:val="10"/>
    <w:qFormat/>
    <w:uiPriority w:val="0"/>
    <w:rPr>
      <w:rFonts w:ascii="Cambria" w:hAnsi="Cambria" w:cs="Times New Roman"/>
      <w:b/>
      <w:bCs/>
      <w:sz w:val="32"/>
      <w:szCs w:val="32"/>
    </w:rPr>
  </w:style>
  <w:style w:type="character" w:customStyle="1" w:styleId="18">
    <w:name w:val="纯文本 字符"/>
    <w:link w:val="5"/>
    <w:qFormat/>
    <w:locked/>
    <w:uiPriority w:val="99"/>
    <w:rPr>
      <w:rFonts w:ascii="宋体" w:hAnsi="Courier New" w:eastAsia="宋体"/>
    </w:rPr>
  </w:style>
  <w:style w:type="character" w:customStyle="1" w:styleId="19">
    <w:name w:val="正文文本缩进 字符"/>
    <w:basedOn w:val="13"/>
    <w:link w:val="4"/>
    <w:semiHidden/>
    <w:qFormat/>
    <w:uiPriority w:val="99"/>
    <w:rPr>
      <w:rFonts w:ascii="Times New Roman" w:hAnsi="Times New Roman" w:eastAsia="宋体" w:cs="Times New Roman"/>
      <w:szCs w:val="20"/>
    </w:rPr>
  </w:style>
  <w:style w:type="character" w:customStyle="1" w:styleId="20">
    <w:name w:val="正文文本首行缩进 2 字符"/>
    <w:basedOn w:val="19"/>
    <w:link w:val="11"/>
    <w:qFormat/>
    <w:uiPriority w:val="0"/>
    <w:rPr>
      <w:rFonts w:ascii="宋体" w:hAnsi="宋体" w:eastAsia="宋体" w:cs="Times New Roman"/>
      <w:color w:val="000000"/>
      <w:szCs w:val="20"/>
    </w:rPr>
  </w:style>
  <w:style w:type="character" w:customStyle="1" w:styleId="21">
    <w:name w:val="副标题 字符1"/>
    <w:basedOn w:val="13"/>
    <w:qFormat/>
    <w:uiPriority w:val="11"/>
    <w:rPr>
      <w:b/>
      <w:bCs/>
      <w:kern w:val="28"/>
      <w:sz w:val="32"/>
      <w:szCs w:val="32"/>
    </w:rPr>
  </w:style>
  <w:style w:type="character" w:customStyle="1" w:styleId="22">
    <w:name w:val="标题 字符1"/>
    <w:basedOn w:val="13"/>
    <w:qFormat/>
    <w:uiPriority w:val="10"/>
    <w:rPr>
      <w:rFonts w:asciiTheme="majorHAnsi" w:hAnsiTheme="majorHAnsi" w:eastAsiaTheme="majorEastAsia" w:cstheme="majorBidi"/>
      <w:b/>
      <w:bCs/>
      <w:sz w:val="32"/>
      <w:szCs w:val="32"/>
    </w:rPr>
  </w:style>
  <w:style w:type="character" w:customStyle="1" w:styleId="23">
    <w:name w:val="纯文本 字符1"/>
    <w:basedOn w:val="13"/>
    <w:semiHidden/>
    <w:qFormat/>
    <w:uiPriority w:val="99"/>
    <w:rPr>
      <w:rFonts w:hAnsi="Courier New" w:cs="Courier New" w:asciiTheme="minorEastAsia"/>
      <w:szCs w:val="20"/>
    </w:rPr>
  </w:style>
  <w:style w:type="character" w:customStyle="1" w:styleId="24">
    <w:name w:val="标题 1 字符"/>
    <w:basedOn w:val="13"/>
    <w:link w:val="3"/>
    <w:qFormat/>
    <w:uiPriority w:val="9"/>
    <w:rPr>
      <w:rFonts w:ascii="Times New Roman" w:hAnsi="Times New Roman" w:eastAsia="宋体" w:cs="Times New Roman"/>
      <w:b/>
      <w:bCs/>
      <w:kern w:val="44"/>
      <w:sz w:val="44"/>
      <w:szCs w:val="44"/>
    </w:rPr>
  </w:style>
  <w:style w:type="paragraph" w:customStyle="1" w:styleId="25">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
    <w:name w:val="p0"/>
    <w:basedOn w:val="1"/>
    <w:qFormat/>
    <w:uiPriority w:val="0"/>
    <w:pP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110</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dcterms:modified xsi:type="dcterms:W3CDTF">2021-03-22T07:01:28Z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